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44A3C" w:rsidRDefault="00D44A3C">
      <w:pPr>
        <w:pStyle w:val="Ttulo1"/>
        <w:rPr>
          <w:rFonts w:ascii="Arial" w:hAnsi="Arial" w:cs="Arial"/>
          <w:b/>
        </w:rPr>
      </w:pPr>
      <w:bookmarkStart w:id="0" w:name="_GoBack"/>
      <w:bookmarkEnd w:id="0"/>
    </w:p>
    <w:p w:rsidR="00D44A3C" w:rsidRDefault="00D44A3C">
      <w:pPr>
        <w:spacing w:line="360" w:lineRule="auto"/>
        <w:rPr>
          <w:rFonts w:ascii="Arial" w:hAnsi="Arial" w:cs="Arial"/>
          <w:b/>
        </w:rPr>
      </w:pPr>
    </w:p>
    <w:p w:rsidR="00D44A3C" w:rsidRDefault="00D44A3C">
      <w:pPr>
        <w:spacing w:line="360" w:lineRule="auto"/>
        <w:rPr>
          <w:rFonts w:ascii="Arial" w:hAnsi="Arial" w:cs="Arial"/>
          <w:b/>
        </w:rPr>
      </w:pPr>
    </w:p>
    <w:p w:rsidR="00D44A3C" w:rsidRDefault="00D44A3C">
      <w:pPr>
        <w:spacing w:line="360" w:lineRule="auto"/>
        <w:rPr>
          <w:rFonts w:ascii="Arial" w:hAnsi="Arial" w:cs="Arial"/>
          <w:b/>
        </w:rPr>
      </w:pPr>
    </w:p>
    <w:p w:rsidR="00D44A3C" w:rsidRDefault="00D44A3C">
      <w:pPr>
        <w:spacing w:line="360" w:lineRule="auto"/>
        <w:rPr>
          <w:rFonts w:ascii="Arial" w:hAnsi="Arial" w:cs="Arial"/>
          <w:b/>
        </w:rPr>
      </w:pPr>
    </w:p>
    <w:p w:rsidR="00D44A3C" w:rsidRDefault="00D44A3C">
      <w:pPr>
        <w:spacing w:line="360" w:lineRule="auto"/>
        <w:rPr>
          <w:rFonts w:ascii="Arial" w:hAnsi="Arial" w:cs="Arial"/>
          <w:b/>
        </w:rPr>
      </w:pPr>
    </w:p>
    <w:p w:rsidR="00D44A3C" w:rsidRDefault="00D44A3C">
      <w:pPr>
        <w:spacing w:line="360" w:lineRule="auto"/>
        <w:rPr>
          <w:rFonts w:ascii="Arial" w:hAnsi="Arial" w:cs="Arial"/>
          <w:b/>
        </w:rPr>
      </w:pPr>
    </w:p>
    <w:p w:rsidR="00D44A3C" w:rsidRDefault="00D44A3C">
      <w:pPr>
        <w:spacing w:line="360" w:lineRule="auto"/>
        <w:rPr>
          <w:rFonts w:ascii="Arial" w:hAnsi="Arial" w:cs="Arial"/>
          <w:b/>
        </w:rPr>
      </w:pPr>
    </w:p>
    <w:p w:rsidR="00D44A3C" w:rsidRDefault="00D44A3C">
      <w:pPr>
        <w:spacing w:line="360" w:lineRule="auto"/>
        <w:rPr>
          <w:rFonts w:ascii="Arial" w:hAnsi="Arial" w:cs="Arial"/>
          <w:b/>
        </w:rPr>
      </w:pPr>
    </w:p>
    <w:p w:rsidR="00D44A3C" w:rsidRDefault="00D44A3C">
      <w:pPr>
        <w:spacing w:line="360" w:lineRule="auto"/>
        <w:jc w:val="center"/>
      </w:pPr>
      <w:r>
        <w:rPr>
          <w:rFonts w:ascii="Arial" w:eastAsia="Arial" w:hAnsi="Arial" w:cs="Arial"/>
          <w:b/>
          <w:bCs/>
          <w:sz w:val="32"/>
          <w:szCs w:val="32"/>
        </w:rPr>
        <w:t xml:space="preserve">PLANO MUNICIPAL PARA A INFÂNCIA E A </w:t>
      </w:r>
    </w:p>
    <w:p w:rsidR="00D44A3C" w:rsidRDefault="00D44A3C">
      <w:pPr>
        <w:spacing w:line="360" w:lineRule="auto"/>
        <w:jc w:val="center"/>
      </w:pPr>
      <w:r>
        <w:rPr>
          <w:rFonts w:ascii="Arial" w:eastAsia="Arial" w:hAnsi="Arial" w:cs="Arial"/>
          <w:b/>
          <w:bCs/>
          <w:sz w:val="32"/>
          <w:szCs w:val="32"/>
        </w:rPr>
        <w:t>ADOLESCÊNCIA (PMIA)</w:t>
      </w:r>
    </w:p>
    <w:p w:rsidR="00D44A3C" w:rsidRDefault="00D44A3C">
      <w:pPr>
        <w:spacing w:line="360" w:lineRule="auto"/>
        <w:jc w:val="center"/>
      </w:pPr>
      <w:r>
        <w:rPr>
          <w:rFonts w:ascii="Arial" w:eastAsia="Arial" w:hAnsi="Arial" w:cs="Arial"/>
          <w:b/>
          <w:bCs/>
          <w:sz w:val="32"/>
          <w:szCs w:val="32"/>
        </w:rPr>
        <w:t>DO MUNICÍPIO DE SANTA BÁRBARA d’OESTE/SP</w:t>
      </w:r>
    </w:p>
    <w:p w:rsidR="00D44A3C" w:rsidRDefault="00D44A3C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D44A3C" w:rsidRDefault="00D44A3C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D44A3C" w:rsidRDefault="00D44A3C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D44A3C" w:rsidRDefault="00D44A3C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D44A3C" w:rsidRDefault="00D44A3C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D44A3C" w:rsidRDefault="00D44A3C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D44A3C" w:rsidRDefault="00D44A3C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D44A3C" w:rsidRDefault="00D44A3C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D44A3C" w:rsidRDefault="00D44A3C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D44A3C" w:rsidRDefault="00D44A3C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D44A3C" w:rsidRDefault="00D44A3C">
      <w:pPr>
        <w:spacing w:line="360" w:lineRule="auto"/>
        <w:jc w:val="center"/>
      </w:pPr>
      <w:r>
        <w:rPr>
          <w:rFonts w:ascii="Arial" w:eastAsia="Arial" w:hAnsi="Arial" w:cs="Arial"/>
          <w:b/>
          <w:bCs/>
          <w:sz w:val="32"/>
          <w:szCs w:val="32"/>
        </w:rPr>
        <w:t>2019-2029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Sumário</w:t>
      </w:r>
    </w:p>
    <w:p w:rsidR="00D44A3C" w:rsidRDefault="00D44A3C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>1. Apresentação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>2. Diagnóstico municipal da infância e adolescência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>3. Conceitos da matriz lógica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>4. Matriz lógica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ab/>
      </w:r>
    </w:p>
    <w:p w:rsidR="00D44A3C" w:rsidRDefault="00D44A3C">
      <w:pPr>
        <w:pageBreakBefore/>
        <w:spacing w:line="360" w:lineRule="auto"/>
        <w:jc w:val="both"/>
      </w:pPr>
      <w:r>
        <w:rPr>
          <w:rFonts w:ascii="Arial" w:eastAsia="Arial" w:hAnsi="Arial" w:cs="Arial"/>
          <w:b/>
          <w:bCs/>
          <w:i/>
          <w:iCs/>
        </w:rPr>
        <w:lastRenderedPageBreak/>
        <w:t>1. Apresentação</w:t>
      </w:r>
    </w:p>
    <w:p w:rsidR="00D44A3C" w:rsidRDefault="00D44A3C">
      <w:pPr>
        <w:spacing w:line="360" w:lineRule="auto"/>
        <w:jc w:val="both"/>
        <w:rPr>
          <w:rFonts w:ascii="Arial" w:hAnsi="Arial" w:cs="Arial"/>
          <w:b/>
          <w:bCs/>
          <w:i/>
          <w:iCs/>
        </w:rPr>
      </w:pP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ab/>
        <w:t>O município de Santa Bárbara d’Oeste realizou a adesão ao Programa Prefeito Amigo da Criança junto a Fundação Abrinq na gestão 2017-2020, com assinatura do Termo de Adesão pelo Prefeito em exercício – sr. Denis Eduardo Andia, em 18 de janeiro de 2017, assumindo assim uma agenda de compromissos a serem cumpridos com prioridade à ações voltadas para infância e adolescência, a partir do envolvimento e a articulação entre as Políticas Públicas, principalmente Assistência Social, Educação e Saúde e também da Sociedade Civil, objetivando à construção PMIA.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ab/>
        <w:t>No decorrer do ano de 2017, o prefeito realizou a nomeação através da Portaria nº 234 de 21 de dezembro de 2017 do Comitê de Apuração do Orçamento da Criança e do Adolescente, composto pelo Articulador do Programa e representantes das Secretarias de Educação; Promoção Social, Saúde, Fazenda e também do Conselho Tutelar e CMDCA, comitê este que ficou responsável pela apuração anual do OCA no decorrer de todo o processo de elaboração do PMIA.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ab/>
        <w:t xml:space="preserve">A construção do PMIA teve como base a participação nos seminários, orientações e tutoriais disponibilizados pela Fundação Abrinq, além de contatos telefônicos realizados com a Equipe do Programa Prefeito Amigo da Criança. 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ab/>
        <w:t>A estruturação do processo metodológico se deu a partir das reuniões realizadas entre as equipes técnicas de gestão das secretarias de cultura, educação, esportes, promoção social e saúde com a coordenadora de informações do Programa Prefeito Amigo da Criança.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ab/>
        <w:t xml:space="preserve">A identificação das vulnerabilidades em relação as crianças e adolescentes no município, constitui-se em 2 duas etapas, sendo: </w:t>
      </w:r>
      <w:r>
        <w:rPr>
          <w:rFonts w:ascii="Arial" w:eastAsia="Arial" w:hAnsi="Arial" w:cs="Arial"/>
          <w:b/>
          <w:bCs/>
        </w:rPr>
        <w:t>1.</w:t>
      </w:r>
      <w:r>
        <w:rPr>
          <w:rFonts w:ascii="Arial" w:eastAsia="Arial" w:hAnsi="Arial" w:cs="Arial"/>
        </w:rPr>
        <w:t xml:space="preserve"> Oficinas nos territórios dos CRAS’s – Centro de Referência de Assistência Social e NAS’s – Núcleo de Atendimento Social e no CREAS – Centro de Referencia Especializado de Assistência Social, com as famílias atendidas nos Serviços – PAEFI e MSE; </w:t>
      </w:r>
      <w:r>
        <w:rPr>
          <w:rFonts w:ascii="Arial" w:eastAsia="Arial" w:hAnsi="Arial" w:cs="Arial"/>
          <w:b/>
          <w:bCs/>
        </w:rPr>
        <w:t xml:space="preserve">2. </w:t>
      </w:r>
      <w:r>
        <w:rPr>
          <w:rFonts w:ascii="Arial" w:eastAsia="Arial" w:hAnsi="Arial" w:cs="Arial"/>
        </w:rPr>
        <w:t>Levantamento dos indicadores do município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lastRenderedPageBreak/>
        <w:t>utilizando-se de fontes como IPEA (Instituto de Pesquisa Econômica Aplicada; IBGE (Instituto Brasileiro de Geografia e Estatística); Fundação SEADE (Sistema Estadual de Análise de Dados) – IMP (Informações dos Municípios Paulistas), bem como mapeamento das vulnerabilidades através dos dados oficiais do município, obtidos nos Serviços executados pela Rede Setorial e Socioassistencial: Secretaria de Promoção Social – CRAS, CREAS, Cadastro Único; Secretaria de Educação; Secretaria de Saúde e Conselho Tutelar.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ab/>
        <w:t xml:space="preserve">Foi realizado nos meses de setembro e outubro do ano de 2018, um total de 12 oficinas que contou com a participação de 211 pessoas, todas elas registradas por meio de listas de presenças e fotografias. Para que oficinas acontecessem, foi realizado um processo de mobilização nos territórios para participação das famílias – pais e/ou responsáveis de crianças e adolescentes e profissionais da rede sócio territorial pública e privada (escolas: municipal e estadual, UBS’s, Organizações da Sociedade Civil, representantes/ liderança de bairro e representantes de entidades religiosas). 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ab/>
        <w:t>A metodologia utilizada à execução das oficinas foi roda de conversa para discussão sobre os diretos e deveres das crianças e dos adolescentes previstos no ECA – Estatuto da Criança e do Adolescente, com interface as garantias e acessos que lhes são ofertadas nas áreas: educação, saúde, esportes, lazer, cultura, proteção, segurança entre outros.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ab/>
        <w:t xml:space="preserve">Após o término das oficinas foram realizadas reuniões entre as equipes técnicas de gestão das políticas setoriais, representante do Conselho Tutelar e representante do CMDCA com a coordenadora de informações, para apresentação dos dados identificados nos territórios e para discussão das estratégias utilizadas para coleta dos indicadores oficiais do município, os quais foram levantados pela Secretaria de Promoção Social – Serviços executados nas Proteções Sociais: Básica e Especial (Média e Alta Complexidade), Cadastro Único; Secretaria de Saúde Atenção Básica e Vigilância em Saúde); Secretaria de Educação e Conselho Tutelar, considerando o período de Janeiro à </w:t>
      </w:r>
      <w:r>
        <w:rPr>
          <w:rFonts w:ascii="Arial" w:eastAsia="Arial" w:hAnsi="Arial" w:cs="Arial"/>
        </w:rPr>
        <w:lastRenderedPageBreak/>
        <w:t>Outubro/2018.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ab/>
        <w:t xml:space="preserve">Com a conclusão da identificação das vulnerabilidades através das oficinas nos territórios e do levantamento dos indicadores oficiais do município, foram iniciadas as discussões para construção da Matriz lógica e identificação do Problema Central, baseando-se no Método Zopp, conforme sugestão e orientação da Fundação Abrinq. 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ab/>
        <w:t>A Secretaria de Promoção Social, por intermédio do articulador e do coordenador de informações do PPAC, ficou como principal responsável por todo o processo de construção do plano: agendamento das oficinas e reuniões, concentração e organização dos dados e informações, estruturação e aprovação do PMIA.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ab/>
        <w:t>O Plano Municipal para Infância e Adolescência de Santa Bárbara d’Oeste é o resultado de um rico processo de diálogo e escuta realizado junto a população e os atores da Rede Setorial e Socioassistencial, o qual concentrou esforços e empenho de todos os envolvidos à elaboração de uma agenda de trabalho com prioridades e olhares voltados a criança e ao adolescente no município.</w:t>
      </w:r>
    </w:p>
    <w:p w:rsidR="00D44A3C" w:rsidRDefault="00D44A3C">
      <w:pPr>
        <w:spacing w:line="360" w:lineRule="auto"/>
        <w:jc w:val="both"/>
      </w:pPr>
    </w:p>
    <w:p w:rsidR="00D44A3C" w:rsidRDefault="00D44A3C">
      <w:pPr>
        <w:spacing w:line="360" w:lineRule="auto"/>
        <w:jc w:val="both"/>
      </w:pPr>
    </w:p>
    <w:p w:rsidR="00D44A3C" w:rsidRDefault="00D44A3C">
      <w:pPr>
        <w:pageBreakBefore/>
        <w:spacing w:line="360" w:lineRule="auto"/>
        <w:jc w:val="both"/>
      </w:pPr>
      <w:r>
        <w:rPr>
          <w:rFonts w:ascii="Arial" w:hAnsi="Arial" w:cs="Arial"/>
          <w:b/>
          <w:bCs/>
          <w:i/>
          <w:iCs/>
        </w:rPr>
        <w:lastRenderedPageBreak/>
        <w:t>2. Diagnóstico Municipal da Infância e Adolescência</w:t>
      </w:r>
    </w:p>
    <w:p w:rsidR="00D44A3C" w:rsidRDefault="00D44A3C">
      <w:pPr>
        <w:spacing w:line="360" w:lineRule="auto"/>
        <w:jc w:val="both"/>
        <w:rPr>
          <w:rFonts w:ascii="Arial" w:hAnsi="Arial" w:cs="Arial"/>
          <w:b/>
          <w:bCs/>
          <w:i/>
          <w:iCs/>
        </w:rPr>
      </w:pPr>
    </w:p>
    <w:p w:rsidR="00D44A3C" w:rsidRDefault="00D44A3C">
      <w:pPr>
        <w:spacing w:line="360" w:lineRule="auto"/>
        <w:jc w:val="both"/>
      </w:pPr>
      <w:r>
        <w:rPr>
          <w:rFonts w:ascii="Arial" w:hAnsi="Arial" w:cs="Arial"/>
          <w:b/>
          <w:bCs/>
          <w:i/>
          <w:iCs/>
          <w:u w:val="single"/>
        </w:rPr>
        <w:t>Perfil Sociodemográfico:</w:t>
      </w:r>
    </w:p>
    <w:p w:rsidR="00D44A3C" w:rsidRDefault="00D44A3C">
      <w:pPr>
        <w:spacing w:line="360" w:lineRule="auto"/>
        <w:jc w:val="both"/>
      </w:pPr>
      <w:r>
        <w:rPr>
          <w:rFonts w:ascii="Arial" w:hAnsi="Arial" w:cs="Arial"/>
        </w:rPr>
        <w:tab/>
        <w:t>O município de Santa Bárbara d’Oeste é o 43º município mais populoso do Estado de São Paulo,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pertence a Região Metropolitana de Campinas, está localizado a noroeste do Estado e conta com Área de Unidade Territorial de 271.030km², sendo que 82 km² estão em perímetro urbano. De acordo com os números divulgados pelo IBGE, estima-se a população de Santa Barbara d’Oeste (2019) em 193.475 mil habitantes. </w:t>
      </w:r>
    </w:p>
    <w:p w:rsidR="00D44A3C" w:rsidRDefault="00D44A3C">
      <w:pPr>
        <w:spacing w:line="360" w:lineRule="auto"/>
        <w:jc w:val="both"/>
      </w:pPr>
      <w:r>
        <w:rPr>
          <w:rFonts w:ascii="Arial" w:hAnsi="Arial" w:cs="Arial"/>
        </w:rPr>
        <w:tab/>
        <w:t>Abaixo demonstramos os dados sociodemográficos do município com projeção da população classificada por:</w:t>
      </w:r>
    </w:p>
    <w:p w:rsidR="00D44A3C" w:rsidRDefault="00D44A3C">
      <w:pPr>
        <w:spacing w:line="276" w:lineRule="auto"/>
        <w:jc w:val="center"/>
      </w:pPr>
      <w:r>
        <w:rPr>
          <w:rFonts w:ascii="Arial" w:hAnsi="Arial" w:cs="Arial"/>
          <w:b/>
          <w:sz w:val="22"/>
          <w:szCs w:val="22"/>
        </w:rPr>
        <w:t>Grupos de Idade</w:t>
      </w:r>
    </w:p>
    <w:p w:rsidR="00D44A3C" w:rsidRDefault="00D44A3C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eastAsia="Liberation Serif" w:cs="Liberation Serif"/>
        </w:rPr>
        <w:t xml:space="preserve">             </w:t>
      </w:r>
      <w:r>
        <w:object w:dxaOrig="8003" w:dyaOrig="42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5pt;height:213.75pt" o:ole="" filled="t">
            <v:fill color2="black"/>
            <v:imagedata r:id="rId7" o:title="" croptop="-15f" cropbottom="-15f" cropleft="-8f" cropright="-8f"/>
          </v:shape>
          <o:OLEObject Type="Embed" ShapeID="_x0000_i1025" DrawAspect="Content" ObjectID="_1661677492" r:id="rId8"/>
        </w:objec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  <w:sz w:val="18"/>
          <w:szCs w:val="18"/>
        </w:rPr>
        <w:t xml:space="preserve">                </w:t>
      </w:r>
      <w:r>
        <w:rPr>
          <w:rFonts w:ascii="Arial" w:hAnsi="Arial" w:cs="Arial"/>
          <w:sz w:val="18"/>
          <w:szCs w:val="18"/>
        </w:rPr>
        <w:t>Fonte: Fundação SEADE - 2016</w:t>
      </w:r>
    </w:p>
    <w:p w:rsidR="00D44A3C" w:rsidRDefault="00D44A3C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</w:rPr>
        <w:t>Segundo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dados da Fundação SEADE – 2019 temos no município uma projeção da </w:t>
      </w:r>
      <w:r>
        <w:rPr>
          <w:rFonts w:ascii="Arial" w:eastAsia="Arial" w:hAnsi="Arial" w:cs="Arial"/>
          <w:b/>
          <w:bCs/>
        </w:rPr>
        <w:t>População Masculina em torno de 92.861 pessoas</w:t>
      </w:r>
      <w:r>
        <w:rPr>
          <w:rFonts w:ascii="Arial" w:eastAsia="Arial" w:hAnsi="Arial" w:cs="Arial"/>
        </w:rPr>
        <w:t xml:space="preserve"> e uma </w:t>
      </w:r>
      <w:r>
        <w:rPr>
          <w:rFonts w:ascii="Arial" w:eastAsia="Arial" w:hAnsi="Arial" w:cs="Arial"/>
          <w:b/>
          <w:bCs/>
        </w:rPr>
        <w:t>População Feminina em torno de 95.065 pessoas</w:t>
      </w:r>
      <w:r>
        <w:rPr>
          <w:rFonts w:ascii="Arial" w:eastAsia="Arial" w:hAnsi="Arial" w:cs="Arial"/>
        </w:rPr>
        <w:t>.</w:t>
      </w:r>
    </w:p>
    <w:p w:rsidR="00D44A3C" w:rsidRDefault="00D44A3C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:rsidR="00D44A3C" w:rsidRDefault="00D44A3C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:rsidR="00D44A3C" w:rsidRDefault="00D44A3C">
      <w:pPr>
        <w:spacing w:line="360" w:lineRule="auto"/>
        <w:jc w:val="center"/>
      </w:pPr>
      <w:r>
        <w:rPr>
          <w:rFonts w:ascii="Arial" w:eastAsia="Arial" w:hAnsi="Arial" w:cs="Arial"/>
          <w:b/>
          <w:sz w:val="22"/>
          <w:szCs w:val="22"/>
        </w:rPr>
        <w:lastRenderedPageBreak/>
        <w:t>Comparativo por Faixa Etária</w:t>
      </w:r>
    </w:p>
    <w:p w:rsidR="00D44A3C" w:rsidRDefault="00D44A3C">
      <w:pPr>
        <w:jc w:val="center"/>
      </w:pPr>
      <w:r>
        <w:rPr>
          <w:rFonts w:ascii="Arial" w:hAnsi="Arial" w:cs="Arial"/>
          <w:b/>
          <w:sz w:val="22"/>
          <w:szCs w:val="22"/>
        </w:rPr>
        <w:t>População Infanto Juvenil x População Idosa</w:t>
      </w:r>
    </w:p>
    <w:p w:rsidR="00D44A3C" w:rsidRDefault="00D44A3C">
      <w:pPr>
        <w:jc w:val="both"/>
        <w:rPr>
          <w:rFonts w:ascii="Arial" w:hAnsi="Arial" w:cs="Arial"/>
          <w:sz w:val="18"/>
          <w:szCs w:val="18"/>
        </w:rPr>
      </w:pPr>
      <w:r>
        <w:rPr>
          <w:rFonts w:eastAsia="Liberation Serif" w:cs="Liberation Serif"/>
        </w:rPr>
        <w:t xml:space="preserve">                        </w:t>
      </w:r>
      <w:r>
        <w:object w:dxaOrig="5991" w:dyaOrig="3386">
          <v:shape id="_x0000_i1026" type="#_x0000_t75" style="width:300pt;height:169.5pt" o:ole="" filled="t">
            <v:fill color2="black"/>
            <v:imagedata r:id="rId9" o:title="" croptop="-19f" cropbottom="-19f" cropleft="-10f" cropright="-10f"/>
          </v:shape>
          <o:OLEObject Type="Embed" ShapeID="_x0000_i1026" DrawAspect="Content" ObjectID="_1661677493" r:id="rId10"/>
        </w:object>
      </w:r>
    </w:p>
    <w:p w:rsidR="00D44A3C" w:rsidRDefault="00D44A3C">
      <w:pPr>
        <w:jc w:val="both"/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Fonte: Fundação SEADE - 2016</w:t>
      </w:r>
    </w:p>
    <w:p w:rsidR="00D44A3C" w:rsidRDefault="00D44A3C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D44A3C" w:rsidRDefault="00D44A3C">
      <w:pPr>
        <w:spacing w:line="276" w:lineRule="auto"/>
        <w:jc w:val="both"/>
      </w:pPr>
      <w:r>
        <w:rPr>
          <w:rFonts w:ascii="Arial" w:hAnsi="Arial" w:cs="Arial"/>
        </w:rPr>
        <w:tab/>
      </w:r>
    </w:p>
    <w:p w:rsidR="00D44A3C" w:rsidRDefault="00D44A3C">
      <w:pPr>
        <w:spacing w:line="276" w:lineRule="auto"/>
        <w:jc w:val="both"/>
      </w:pPr>
      <w:r>
        <w:rPr>
          <w:rFonts w:ascii="Arial" w:eastAsia="Arial" w:hAnsi="Arial" w:cs="Arial"/>
          <w:b/>
          <w:bCs/>
          <w:sz w:val="22"/>
          <w:szCs w:val="22"/>
        </w:rPr>
        <w:t>Crianças e Adolescentes - Comparativo Sexo x Faixa Etária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50"/>
        <w:gridCol w:w="2145"/>
        <w:gridCol w:w="2128"/>
      </w:tblGrid>
      <w:tr w:rsidR="00D44A3C">
        <w:tc>
          <w:tcPr>
            <w:tcW w:w="16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Faixa Etária</w:t>
            </w:r>
          </w:p>
        </w:tc>
        <w:tc>
          <w:tcPr>
            <w:tcW w:w="21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Masculino</w:t>
            </w:r>
          </w:p>
        </w:tc>
        <w:tc>
          <w:tcPr>
            <w:tcW w:w="21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Feminino</w:t>
            </w:r>
          </w:p>
        </w:tc>
      </w:tr>
      <w:tr w:rsidR="00D44A3C">
        <w:tc>
          <w:tcPr>
            <w:tcW w:w="16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0-4 anos</w:t>
            </w:r>
          </w:p>
        </w:tc>
        <w:tc>
          <w:tcPr>
            <w:tcW w:w="21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5.506</w:t>
            </w:r>
          </w:p>
        </w:tc>
        <w:tc>
          <w:tcPr>
            <w:tcW w:w="21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5.094</w:t>
            </w:r>
          </w:p>
        </w:tc>
      </w:tr>
      <w:tr w:rsidR="00D44A3C">
        <w:tc>
          <w:tcPr>
            <w:tcW w:w="16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5-9 anos</w:t>
            </w:r>
          </w:p>
        </w:tc>
        <w:tc>
          <w:tcPr>
            <w:tcW w:w="21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5.804</w:t>
            </w:r>
          </w:p>
        </w:tc>
        <w:tc>
          <w:tcPr>
            <w:tcW w:w="21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5.470</w:t>
            </w:r>
          </w:p>
        </w:tc>
      </w:tr>
      <w:tr w:rsidR="00D44A3C">
        <w:tc>
          <w:tcPr>
            <w:tcW w:w="16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10-14 anos</w:t>
            </w:r>
          </w:p>
        </w:tc>
        <w:tc>
          <w:tcPr>
            <w:tcW w:w="21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6.760</w:t>
            </w:r>
          </w:p>
        </w:tc>
        <w:tc>
          <w:tcPr>
            <w:tcW w:w="21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6.464</w:t>
            </w:r>
          </w:p>
        </w:tc>
      </w:tr>
      <w:tr w:rsidR="00D44A3C">
        <w:tc>
          <w:tcPr>
            <w:tcW w:w="16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15-19 anos</w:t>
            </w:r>
          </w:p>
        </w:tc>
        <w:tc>
          <w:tcPr>
            <w:tcW w:w="21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7.503</w:t>
            </w:r>
          </w:p>
        </w:tc>
        <w:tc>
          <w:tcPr>
            <w:tcW w:w="21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7.406</w:t>
            </w:r>
          </w:p>
        </w:tc>
      </w:tr>
    </w:tbl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  <w:sz w:val="18"/>
          <w:szCs w:val="18"/>
        </w:rPr>
        <w:t>Fonte: IBGE – Pirâmide Etária 2010</w:t>
      </w:r>
      <w:r>
        <w:rPr>
          <w:rFonts w:ascii="Arial" w:eastAsia="Arial" w:hAnsi="Arial" w:cs="Arial"/>
          <w:i/>
          <w:iCs/>
        </w:rPr>
        <w:tab/>
      </w:r>
    </w:p>
    <w:p w:rsidR="00D44A3C" w:rsidRDefault="00D44A3C">
      <w:pPr>
        <w:spacing w:line="276" w:lineRule="auto"/>
        <w:jc w:val="both"/>
        <w:rPr>
          <w:rFonts w:ascii="Arial" w:hAnsi="Arial" w:cs="Arial"/>
        </w:rPr>
      </w:pPr>
    </w:p>
    <w:p w:rsidR="00D44A3C" w:rsidRDefault="00D44A3C">
      <w:pPr>
        <w:spacing w:line="276" w:lineRule="auto"/>
        <w:jc w:val="both"/>
        <w:rPr>
          <w:rFonts w:ascii="Arial" w:hAnsi="Arial" w:cs="Arial"/>
        </w:rPr>
      </w:pPr>
    </w:p>
    <w:p w:rsidR="00D44A3C" w:rsidRDefault="00D44A3C">
      <w:pPr>
        <w:spacing w:line="276" w:lineRule="auto"/>
        <w:jc w:val="both"/>
        <w:rPr>
          <w:rFonts w:ascii="Arial" w:hAnsi="Arial" w:cs="Arial"/>
          <w:b/>
          <w:bCs/>
          <w:i/>
          <w:iCs/>
          <w:u w:val="single"/>
        </w:rPr>
      </w:pPr>
    </w:p>
    <w:p w:rsidR="00D44A3C" w:rsidRDefault="00D44A3C">
      <w:pPr>
        <w:spacing w:line="276" w:lineRule="auto"/>
        <w:jc w:val="both"/>
      </w:pPr>
      <w:r>
        <w:rPr>
          <w:rFonts w:ascii="Arial" w:hAnsi="Arial" w:cs="Arial"/>
          <w:b/>
          <w:bCs/>
          <w:i/>
          <w:iCs/>
          <w:u w:val="single"/>
        </w:rPr>
        <w:t>Perfil Educação:</w:t>
      </w:r>
    </w:p>
    <w:p w:rsidR="00D44A3C" w:rsidRDefault="00D44A3C">
      <w:pPr>
        <w:spacing w:line="360" w:lineRule="auto"/>
        <w:ind w:firstLine="624"/>
        <w:jc w:val="both"/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 No que se refere ao levantamento de dados efetuado pela Secretaria Municipal de Educação, utilizamos como referencia o </w:t>
      </w:r>
      <w:r>
        <w:rPr>
          <w:rFonts w:ascii="Arial" w:eastAsia="Times New Roman" w:hAnsi="Arial" w:cs="Arial"/>
          <w:color w:val="000000"/>
          <w:sz w:val="22"/>
          <w:szCs w:val="22"/>
          <w:u w:val="single"/>
        </w:rPr>
        <w:t>ano de 2019</w:t>
      </w:r>
      <w:r>
        <w:rPr>
          <w:rFonts w:ascii="Arial" w:eastAsia="Times New Roman" w:hAnsi="Arial" w:cs="Arial"/>
          <w:color w:val="000000"/>
          <w:sz w:val="22"/>
          <w:szCs w:val="22"/>
        </w:rPr>
        <w:t>, conforme segue:</w:t>
      </w:r>
    </w:p>
    <w:p w:rsidR="00D44A3C" w:rsidRDefault="00D44A3C">
      <w:pPr>
        <w:spacing w:line="360" w:lineRule="auto"/>
        <w:ind w:firstLine="624"/>
        <w:jc w:val="both"/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 1 –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Demanda Reprimida / Crianças em lista de espera de 0 à 03 anos, aguardando vaga em creche</w:t>
      </w:r>
      <w:r>
        <w:rPr>
          <w:rFonts w:ascii="Arial" w:eastAsia="Times New Roman" w:hAnsi="Arial" w:cs="Arial"/>
          <w:color w:val="000000"/>
          <w:sz w:val="22"/>
          <w:szCs w:val="22"/>
        </w:rPr>
        <w:t>: 363 crianças.</w:t>
      </w:r>
    </w:p>
    <w:p w:rsidR="00D44A3C" w:rsidRDefault="00D44A3C">
      <w:pPr>
        <w:spacing w:line="360" w:lineRule="auto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ind w:left="709" w:hanging="283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    2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– Taxa de Alfabetização </w:t>
      </w:r>
    </w:p>
    <w:p w:rsidR="00D44A3C" w:rsidRDefault="00D44A3C">
      <w:pPr>
        <w:spacing w:line="360" w:lineRule="auto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  <w:r>
        <w:pict>
          <v:shape id="_x0000_s1039" type="#_x0000_t75" style="position:absolute;left:0;text-align:left;margin-left:0;margin-top:6.3pt;width:316.85pt;height:164.2pt;z-index:14;mso-wrap-distance-left:0;mso-wrap-distance-right:0;mso-position-horizontal:center" filled="t">
            <v:fill color2="black"/>
            <v:imagedata r:id="rId11" o:title="" croptop="19547f" cropbottom="11958f" cropleft="7119f" cropright="21506f"/>
            <w10:wrap type="square" side="largest"/>
          </v:shape>
        </w:pict>
      </w:r>
    </w:p>
    <w:p w:rsidR="00D44A3C" w:rsidRDefault="00D44A3C">
      <w:pPr>
        <w:spacing w:line="360" w:lineRule="auto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jc w:val="both"/>
      </w:pPr>
      <w:r>
        <w:rPr>
          <w:rFonts w:ascii="Arial" w:eastAsia="Times New Roman" w:hAnsi="Arial" w:cs="Arial"/>
          <w:color w:val="000000"/>
          <w:sz w:val="22"/>
          <w:szCs w:val="22"/>
        </w:rPr>
        <w:tab/>
      </w:r>
    </w:p>
    <w:p w:rsidR="00D44A3C" w:rsidRDefault="00D44A3C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pict>
          <v:shape id="_x0000_s1040" type="#_x0000_t75" style="position:absolute;left:0;text-align:left;margin-left:103.3pt;margin-top:-4.3pt;width:282pt;height:202.5pt;z-index:15;mso-wrap-distance-left:0;mso-wrap-distance-right:0" filled="t">
            <v:fill color2="black"/>
            <v:imagedata r:id="rId12" o:title="" croptop="14427f" cropbottom="9807f" cropleft="9560f" cropright="23649f"/>
            <w10:wrap type="square" side="largest"/>
          </v:shape>
        </w:pict>
      </w:r>
    </w:p>
    <w:p w:rsidR="00D44A3C" w:rsidRDefault="00D44A3C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44A3C" w:rsidRDefault="00D44A3C">
      <w:pPr>
        <w:spacing w:line="360" w:lineRule="auto"/>
        <w:jc w:val="both"/>
      </w:pPr>
      <w:r>
        <w:rPr>
          <w:rFonts w:ascii="Arial" w:eastAsia="Times New Roman" w:hAnsi="Arial" w:cs="Arial"/>
          <w:color w:val="000000"/>
          <w:sz w:val="22"/>
          <w:szCs w:val="22"/>
        </w:rPr>
        <w:tab/>
        <w:t>3 – Distorção idade-série no ano de 2019: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78"/>
        <w:gridCol w:w="1984"/>
        <w:gridCol w:w="1905"/>
        <w:gridCol w:w="1559"/>
        <w:gridCol w:w="1994"/>
      </w:tblGrid>
      <w:tr w:rsidR="00D44A3C">
        <w:tc>
          <w:tcPr>
            <w:tcW w:w="15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9D9D9"/>
            <w:vAlign w:val="center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SÉRIE</w:t>
            </w:r>
          </w:p>
        </w:tc>
        <w:tc>
          <w:tcPr>
            <w:tcW w:w="198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9D9D9"/>
            <w:vAlign w:val="center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IDADE - BASE</w:t>
            </w:r>
          </w:p>
        </w:tc>
        <w:tc>
          <w:tcPr>
            <w:tcW w:w="190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9D9D9"/>
            <w:vAlign w:val="center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DISTORÇÃO</w:t>
            </w:r>
          </w:p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IGUAL OU ACIMA</w:t>
            </w:r>
          </w:p>
        </w:tc>
        <w:tc>
          <w:tcPr>
            <w:tcW w:w="155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9D9D9"/>
            <w:vAlign w:val="center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QTDE</w:t>
            </w:r>
          </w:p>
        </w:tc>
        <w:tc>
          <w:tcPr>
            <w:tcW w:w="199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9D9D9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Nº MATRICULADOS</w:t>
            </w:r>
          </w:p>
        </w:tc>
      </w:tr>
      <w:tr w:rsidR="00D44A3C">
        <w:tc>
          <w:tcPr>
            <w:tcW w:w="15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1º ano</w:t>
            </w:r>
          </w:p>
        </w:tc>
        <w:tc>
          <w:tcPr>
            <w:tcW w:w="198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 / 7 anos</w:t>
            </w:r>
          </w:p>
        </w:tc>
        <w:tc>
          <w:tcPr>
            <w:tcW w:w="190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9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1.734</w:t>
            </w:r>
          </w:p>
        </w:tc>
      </w:tr>
      <w:tr w:rsidR="00D44A3C">
        <w:tc>
          <w:tcPr>
            <w:tcW w:w="15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2º ano</w:t>
            </w:r>
          </w:p>
        </w:tc>
        <w:tc>
          <w:tcPr>
            <w:tcW w:w="198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 / 8 anos</w:t>
            </w:r>
          </w:p>
        </w:tc>
        <w:tc>
          <w:tcPr>
            <w:tcW w:w="190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5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99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1.622</w:t>
            </w:r>
          </w:p>
        </w:tc>
      </w:tr>
      <w:tr w:rsidR="00D44A3C">
        <w:tc>
          <w:tcPr>
            <w:tcW w:w="15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3º ano</w:t>
            </w:r>
          </w:p>
        </w:tc>
        <w:tc>
          <w:tcPr>
            <w:tcW w:w="198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8 / 9 anos</w:t>
            </w:r>
          </w:p>
        </w:tc>
        <w:tc>
          <w:tcPr>
            <w:tcW w:w="190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99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1.731</w:t>
            </w:r>
          </w:p>
        </w:tc>
      </w:tr>
      <w:tr w:rsidR="00D44A3C">
        <w:tc>
          <w:tcPr>
            <w:tcW w:w="15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lastRenderedPageBreak/>
              <w:t>4º ano</w:t>
            </w:r>
          </w:p>
        </w:tc>
        <w:tc>
          <w:tcPr>
            <w:tcW w:w="198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 / 10 anos</w:t>
            </w:r>
          </w:p>
        </w:tc>
        <w:tc>
          <w:tcPr>
            <w:tcW w:w="190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99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1.644</w:t>
            </w:r>
          </w:p>
        </w:tc>
      </w:tr>
      <w:tr w:rsidR="00D44A3C">
        <w:tc>
          <w:tcPr>
            <w:tcW w:w="15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5º ano</w:t>
            </w:r>
          </w:p>
        </w:tc>
        <w:tc>
          <w:tcPr>
            <w:tcW w:w="198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10 / 11 anos</w:t>
            </w:r>
          </w:p>
        </w:tc>
        <w:tc>
          <w:tcPr>
            <w:tcW w:w="190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55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99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1.618</w:t>
            </w:r>
          </w:p>
        </w:tc>
      </w:tr>
      <w:tr w:rsidR="00D44A3C">
        <w:tc>
          <w:tcPr>
            <w:tcW w:w="5467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9D9D9"/>
          </w:tcPr>
          <w:p w:rsidR="00D44A3C" w:rsidRDefault="00D44A3C">
            <w:pPr>
              <w:spacing w:line="480" w:lineRule="auto"/>
              <w:jc w:val="right"/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9D9D9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99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9D9D9"/>
          </w:tcPr>
          <w:p w:rsidR="00D44A3C" w:rsidRDefault="00D44A3C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 xml:space="preserve">8.349 </w:t>
            </w:r>
          </w:p>
        </w:tc>
      </w:tr>
    </w:tbl>
    <w:p w:rsidR="00D44A3C" w:rsidRDefault="00D44A3C">
      <w:pPr>
        <w:spacing w:line="480" w:lineRule="auto"/>
        <w:jc w:val="both"/>
      </w:pPr>
    </w:p>
    <w:p w:rsidR="00D44A3C" w:rsidRDefault="00D44A3C">
      <w:pPr>
        <w:spacing w:line="360" w:lineRule="auto"/>
        <w:jc w:val="both"/>
      </w:pPr>
      <w:r>
        <w:rPr>
          <w:rFonts w:ascii="Arial" w:eastAsia="Times New Roman" w:hAnsi="Arial" w:cs="Arial"/>
          <w:color w:val="000000"/>
          <w:sz w:val="22"/>
          <w:szCs w:val="22"/>
        </w:rPr>
        <w:tab/>
        <w:t xml:space="preserve">4 –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Evasão Escolar com referência de 2019: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</w:p>
    <w:p w:rsidR="00D44A3C" w:rsidRDefault="00D44A3C">
      <w:pPr>
        <w:numPr>
          <w:ilvl w:val="0"/>
          <w:numId w:val="3"/>
        </w:numPr>
        <w:spacing w:line="360" w:lineRule="auto"/>
        <w:jc w:val="both"/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05 crianças da Educação Infantil (4 e 5 anos); </w:t>
      </w:r>
    </w:p>
    <w:p w:rsidR="00D44A3C" w:rsidRDefault="00D44A3C">
      <w:pPr>
        <w:numPr>
          <w:ilvl w:val="0"/>
          <w:numId w:val="3"/>
        </w:numPr>
        <w:spacing w:line="360" w:lineRule="auto"/>
        <w:jc w:val="both"/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02 crianças do Ensino Fundamental 1 (Encaminhadas ao Ministério Público); e </w:t>
      </w:r>
    </w:p>
    <w:p w:rsidR="00D44A3C" w:rsidRDefault="00D44A3C">
      <w:pPr>
        <w:numPr>
          <w:ilvl w:val="0"/>
          <w:numId w:val="3"/>
        </w:numPr>
        <w:spacing w:line="360" w:lineRule="auto"/>
        <w:jc w:val="both"/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29 entre jovens/adultos/idosos na modalidade de Educação de Jovens e Adultos. 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7"/>
        <w:gridCol w:w="1377"/>
        <w:gridCol w:w="1387"/>
      </w:tblGrid>
      <w:tr w:rsidR="00D44A3C"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Nº de Estabelecimento Ensino Fundamental (anos iniciais)  </w:t>
            </w:r>
          </w:p>
        </w:tc>
        <w:tc>
          <w:tcPr>
            <w:tcW w:w="1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Nº de Estabelecimento Ensino Fundamental (anos finais)  </w:t>
            </w:r>
          </w:p>
        </w:tc>
        <w:tc>
          <w:tcPr>
            <w:tcW w:w="1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Nº de Matrículas no ensino fundamental </w:t>
            </w:r>
          </w:p>
        </w:tc>
        <w:tc>
          <w:tcPr>
            <w:tcW w:w="1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Nº de Matrículas no ensino fundamental INTEGRAL</w:t>
            </w:r>
          </w:p>
        </w:tc>
        <w:tc>
          <w:tcPr>
            <w:tcW w:w="1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Nº de Estabelecimento Ensino Médio  </w:t>
            </w:r>
          </w:p>
        </w:tc>
        <w:tc>
          <w:tcPr>
            <w:tcW w:w="1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Nº de Matrículas no ensino médio </w:t>
            </w:r>
          </w:p>
        </w:tc>
        <w:tc>
          <w:tcPr>
            <w:tcW w:w="13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Nº de matrículas Ensino de Jovens e Adultos (EJA) </w:t>
            </w:r>
          </w:p>
        </w:tc>
      </w:tr>
      <w:tr w:rsidR="00D44A3C">
        <w:tc>
          <w:tcPr>
            <w:tcW w:w="13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44 (2018)</w:t>
            </w:r>
          </w:p>
        </w:tc>
        <w:tc>
          <w:tcPr>
            <w:tcW w:w="1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35 (2018)</w:t>
            </w:r>
          </w:p>
        </w:tc>
        <w:tc>
          <w:tcPr>
            <w:tcW w:w="1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20.015 (2018)</w:t>
            </w:r>
          </w:p>
        </w:tc>
        <w:tc>
          <w:tcPr>
            <w:tcW w:w="1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6.054 (2018)</w:t>
            </w:r>
          </w:p>
        </w:tc>
        <w:tc>
          <w:tcPr>
            <w:tcW w:w="1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25 (2018)</w:t>
            </w:r>
          </w:p>
        </w:tc>
        <w:tc>
          <w:tcPr>
            <w:tcW w:w="1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5.233 (2018)</w:t>
            </w:r>
          </w:p>
        </w:tc>
        <w:tc>
          <w:tcPr>
            <w:tcW w:w="13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572 (2018)</w:t>
            </w:r>
          </w:p>
        </w:tc>
      </w:tr>
    </w:tbl>
    <w:p w:rsidR="00D44A3C" w:rsidRDefault="00D44A3C">
      <w:pPr>
        <w:spacing w:line="276" w:lineRule="auto"/>
        <w:jc w:val="both"/>
        <w:rPr>
          <w:rFonts w:ascii="Arial" w:hAnsi="Arial" w:cs="Arial"/>
          <w:b/>
          <w:bCs/>
          <w:i/>
          <w:iCs/>
          <w:u w:val="single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06"/>
        <w:gridCol w:w="1606"/>
        <w:gridCol w:w="1606"/>
        <w:gridCol w:w="1607"/>
        <w:gridCol w:w="1606"/>
        <w:gridCol w:w="1617"/>
      </w:tblGrid>
      <w:tr w:rsidR="00D44A3C"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IDEB – anos iniciais  Ens. Fundamental (Rede Pública) [2017]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IDEB – Anos finais Ens. Fundamental (Rede pública) [2017]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IDEB – Ensino Médio (Rede pública) [2017]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Matrículas no </w:t>
            </w:r>
          </w:p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Ens. Fundamental [2018]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Matrículas no Ensino Médio [2018]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Taxa de escolarização de 6 a 14 anos de idade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- 2010</w:t>
            </w:r>
          </w:p>
        </w:tc>
      </w:tr>
      <w:tr w:rsidR="00D44A3C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7,0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4,2%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20.015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5.233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98,4%</w:t>
            </w:r>
          </w:p>
        </w:tc>
      </w:tr>
    </w:tbl>
    <w:p w:rsidR="00D44A3C" w:rsidRDefault="00D44A3C">
      <w:pPr>
        <w:spacing w:line="276" w:lineRule="auto"/>
        <w:jc w:val="both"/>
        <w:rPr>
          <w:rFonts w:ascii="Arial" w:hAnsi="Arial" w:cs="Arial"/>
          <w:b/>
          <w:bCs/>
          <w:i/>
          <w:iCs/>
          <w:u w:val="single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04"/>
        <w:gridCol w:w="1205"/>
        <w:gridCol w:w="1205"/>
        <w:gridCol w:w="1204"/>
        <w:gridCol w:w="1205"/>
        <w:gridCol w:w="1205"/>
        <w:gridCol w:w="1205"/>
        <w:gridCol w:w="1215"/>
      </w:tblGrid>
      <w:tr w:rsidR="00D44A3C">
        <w:tc>
          <w:tcPr>
            <w:tcW w:w="12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Taxa de Aprovação do Ensino 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Fundamental </w:t>
            </w:r>
          </w:p>
        </w:tc>
        <w:tc>
          <w:tcPr>
            <w:tcW w:w="12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Taxa de distorção idade-série Ensino 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Fundamental  </w:t>
            </w:r>
          </w:p>
        </w:tc>
        <w:tc>
          <w:tcPr>
            <w:tcW w:w="12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Taxa de abandono no Ensino 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>Fundamental</w:t>
            </w:r>
          </w:p>
        </w:tc>
        <w:tc>
          <w:tcPr>
            <w:tcW w:w="12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População de 6 à 14 anos fora da escola </w:t>
            </w:r>
          </w:p>
        </w:tc>
        <w:tc>
          <w:tcPr>
            <w:tcW w:w="12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Taxa de Aprovação do Ensino Médio  </w:t>
            </w:r>
          </w:p>
        </w:tc>
        <w:tc>
          <w:tcPr>
            <w:tcW w:w="12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Taxa de distorção idade-série Ensino Médio</w:t>
            </w:r>
          </w:p>
        </w:tc>
        <w:tc>
          <w:tcPr>
            <w:tcW w:w="12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Taxa de abandono no Ensino Médio </w:t>
            </w:r>
          </w:p>
        </w:tc>
        <w:tc>
          <w:tcPr>
            <w:tcW w:w="12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População de 15 à 17 anos fora da escola</w:t>
            </w:r>
          </w:p>
        </w:tc>
      </w:tr>
      <w:tr w:rsidR="00D44A3C"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97,3% (2018)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4,7% (2018)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0,4% (2018)</w:t>
            </w:r>
          </w:p>
        </w:tc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342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90,6% (2018)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9,3%(2018)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2,5% (2018)</w:t>
            </w:r>
          </w:p>
        </w:tc>
        <w:tc>
          <w:tcPr>
            <w:tcW w:w="12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276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1.146 (2010)</w:t>
            </w:r>
          </w:p>
        </w:tc>
      </w:tr>
    </w:tbl>
    <w:p w:rsidR="00D44A3C" w:rsidRDefault="00D44A3C">
      <w:pPr>
        <w:spacing w:line="276" w:lineRule="auto"/>
        <w:jc w:val="both"/>
      </w:pPr>
      <w:r>
        <w:rPr>
          <w:rFonts w:ascii="Arial" w:hAnsi="Arial" w:cs="Arial"/>
          <w:sz w:val="18"/>
          <w:szCs w:val="18"/>
        </w:rPr>
        <w:t>Observatório da Criança e do Adolescente – Fundação ABRINQ – ODS 4: Educação de Qualidade - Indicadores</w:t>
      </w:r>
    </w:p>
    <w:p w:rsidR="00D44A3C" w:rsidRDefault="00D44A3C">
      <w:pPr>
        <w:spacing w:line="276" w:lineRule="auto"/>
        <w:jc w:val="both"/>
        <w:rPr>
          <w:rFonts w:ascii="Arial" w:hAnsi="Arial" w:cs="Arial"/>
        </w:rPr>
      </w:pPr>
    </w:p>
    <w:p w:rsidR="00D44A3C" w:rsidRDefault="00D44A3C">
      <w:pPr>
        <w:spacing w:line="276" w:lineRule="auto"/>
        <w:jc w:val="both"/>
        <w:rPr>
          <w:rFonts w:ascii="Arial" w:hAnsi="Arial" w:cs="Arial"/>
        </w:rPr>
      </w:pPr>
    </w:p>
    <w:p w:rsidR="00D44A3C" w:rsidRDefault="00D44A3C">
      <w:pPr>
        <w:spacing w:line="276" w:lineRule="auto"/>
        <w:jc w:val="both"/>
        <w:rPr>
          <w:rFonts w:ascii="Arial" w:hAnsi="Arial" w:cs="Arial"/>
        </w:rPr>
      </w:pPr>
    </w:p>
    <w:p w:rsidR="00D44A3C" w:rsidRDefault="00D44A3C">
      <w:pPr>
        <w:spacing w:line="276" w:lineRule="auto"/>
        <w:jc w:val="both"/>
      </w:pPr>
      <w:r>
        <w:rPr>
          <w:rFonts w:ascii="Arial" w:hAnsi="Arial" w:cs="Arial"/>
          <w:b/>
          <w:bCs/>
          <w:i/>
          <w:iCs/>
          <w:u w:val="single"/>
        </w:rPr>
        <w:lastRenderedPageBreak/>
        <w:t>Perfil Saúde: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77"/>
        <w:gridCol w:w="1173"/>
        <w:gridCol w:w="960"/>
        <w:gridCol w:w="1245"/>
        <w:gridCol w:w="1035"/>
        <w:gridCol w:w="1350"/>
        <w:gridCol w:w="2523"/>
      </w:tblGrid>
      <w:tr w:rsidR="00D44A3C">
        <w:tc>
          <w:tcPr>
            <w:tcW w:w="9663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Levantamento referente ao Período 2018</w:t>
            </w:r>
          </w:p>
        </w:tc>
      </w:tr>
      <w:tr w:rsidR="00D44A3C">
        <w:tc>
          <w:tcPr>
            <w:tcW w:w="1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Gravidez Adolescente</w:t>
            </w:r>
          </w:p>
        </w:tc>
        <w:tc>
          <w:tcPr>
            <w:tcW w:w="11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HIV em crianças menores de 05 anos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Óbito Materno</w:t>
            </w:r>
          </w:p>
        </w:tc>
        <w:tc>
          <w:tcPr>
            <w:tcW w:w="12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Intoxicação Exógena </w:t>
            </w: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Violência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Mortalidade Infantil</w:t>
            </w:r>
          </w:p>
        </w:tc>
        <w:tc>
          <w:tcPr>
            <w:tcW w:w="25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snapToGrid w:val="0"/>
              <w:spacing w:line="276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Crianças menores de 05 anos de idade abaixo do peso ideal / Magreza.</w:t>
            </w:r>
          </w:p>
          <w:p w:rsidR="00D44A3C" w:rsidRDefault="00D44A3C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Ano Referência/2019</w:t>
            </w:r>
          </w:p>
        </w:tc>
      </w:tr>
      <w:tr w:rsidR="00D44A3C">
        <w:tc>
          <w:tcPr>
            <w:tcW w:w="13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11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2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184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5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</w:tr>
    </w:tbl>
    <w:p w:rsidR="00D44A3C" w:rsidRDefault="00D44A3C">
      <w:pPr>
        <w:spacing w:line="276" w:lineRule="auto"/>
        <w:jc w:val="both"/>
        <w:rPr>
          <w:rFonts w:ascii="Arial" w:hAnsi="Arial" w:cs="Arial"/>
          <w:b/>
          <w:bCs/>
          <w:i/>
          <w:iCs/>
          <w:u w:val="single"/>
        </w:rPr>
      </w:pPr>
    </w:p>
    <w:p w:rsidR="00D44A3C" w:rsidRDefault="00D44A3C">
      <w:pPr>
        <w:spacing w:line="276" w:lineRule="auto"/>
        <w:jc w:val="both"/>
      </w:pPr>
      <w:r>
        <w:rPr>
          <w:rFonts w:ascii="Arial" w:hAnsi="Arial" w:cs="Arial"/>
          <w:b/>
          <w:bCs/>
          <w:i/>
          <w:iCs/>
          <w:u w:val="single"/>
        </w:rPr>
        <w:t>Perfil Proteção:</w:t>
      </w:r>
    </w:p>
    <w:p w:rsidR="00D44A3C" w:rsidRDefault="00D44A3C">
      <w:pPr>
        <w:spacing w:line="276" w:lineRule="auto"/>
        <w:jc w:val="both"/>
      </w:pPr>
      <w:r>
        <w:rPr>
          <w:rFonts w:ascii="Arial" w:hAnsi="Arial" w:cs="Arial"/>
        </w:rPr>
        <w:tab/>
        <w:t>No que se refere aos dados do Cadastro Único, o município de Santa Bárbara d’Oeste no mês de dezembro de 2019 apresentava o total de 9.027 famílias inscritas</w:t>
      </w:r>
      <w:r>
        <w:rPr>
          <w:rStyle w:val="Refdenotaderodap"/>
          <w:rFonts w:ascii="Arial" w:hAnsi="Arial" w:cs="Arial"/>
        </w:rPr>
        <w:footnoteReference w:id="1"/>
      </w:r>
      <w:r>
        <w:rPr>
          <w:rFonts w:ascii="Arial" w:hAnsi="Arial" w:cs="Arial"/>
        </w:rPr>
        <w:t>,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dentre as quais:</w:t>
      </w:r>
    </w:p>
    <w:p w:rsidR="00D44A3C" w:rsidRDefault="00D44A3C">
      <w:pPr>
        <w:spacing w:line="360" w:lineRule="auto"/>
        <w:jc w:val="both"/>
      </w:pPr>
      <w:r>
        <w:rPr>
          <w:rFonts w:ascii="Arial" w:hAnsi="Arial" w:cs="Arial"/>
        </w:rPr>
        <w:t>- 2.783 com renda per capita familiar de até R$ 89,00;</w:t>
      </w:r>
    </w:p>
    <w:p w:rsidR="00D44A3C" w:rsidRDefault="00D44A3C">
      <w:pPr>
        <w:spacing w:line="360" w:lineRule="auto"/>
        <w:jc w:val="both"/>
      </w:pPr>
      <w:r>
        <w:rPr>
          <w:rFonts w:ascii="Arial" w:hAnsi="Arial" w:cs="Arial"/>
        </w:rPr>
        <w:t>- 879 com renda per capita familiar entre R$ 89,01 e R$ 178,00;</w:t>
      </w:r>
    </w:p>
    <w:p w:rsidR="00D44A3C" w:rsidRDefault="00D44A3C">
      <w:pPr>
        <w:spacing w:line="360" w:lineRule="auto"/>
        <w:jc w:val="both"/>
      </w:pPr>
      <w:r>
        <w:rPr>
          <w:rFonts w:ascii="Arial" w:hAnsi="Arial" w:cs="Arial"/>
        </w:rPr>
        <w:t>- 1.980 com renda per capita familiar entre R$ 178,01 e meio salário mínimo;</w:t>
      </w:r>
    </w:p>
    <w:p w:rsidR="00D44A3C" w:rsidRDefault="00D44A3C">
      <w:pPr>
        <w:spacing w:line="360" w:lineRule="auto"/>
        <w:jc w:val="both"/>
      </w:pPr>
      <w:r>
        <w:rPr>
          <w:rFonts w:ascii="Arial" w:hAnsi="Arial" w:cs="Arial"/>
        </w:rPr>
        <w:t>- 3.385 com renda per capita acima de meio salário mínimo.</w:t>
      </w:r>
    </w:p>
    <w:p w:rsidR="00D44A3C" w:rsidRDefault="00D44A3C">
      <w:pPr>
        <w:spacing w:line="360" w:lineRule="auto"/>
        <w:jc w:val="both"/>
      </w:pPr>
      <w:r>
        <w:rPr>
          <w:rFonts w:ascii="Arial" w:hAnsi="Arial" w:cs="Arial"/>
        </w:rPr>
        <w:tab/>
        <w:t>O Programa Bolsa Família (PBF) beneficiou, no mês de outubro de 2019, 2.763 famílias, representando uma cobertura de 79,2 % da estimativa de famílias pobres no município. As famílias recebem benefícios com valor médio de R$191,77 e o valor total transferido pelo governo federal em benefícios às famílias atendidas alcançou R$ 529.848,00 no mês.</w:t>
      </w:r>
    </w:p>
    <w:p w:rsidR="00D44A3C" w:rsidRDefault="00D44A3C">
      <w:pPr>
        <w:spacing w:line="360" w:lineRule="auto"/>
        <w:jc w:val="both"/>
      </w:pPr>
      <w:r>
        <w:rPr>
          <w:rFonts w:ascii="Arial" w:hAnsi="Arial" w:cs="Arial"/>
        </w:rPr>
        <w:tab/>
        <w:t>Ainda de acordo com os dados do Cadastro Único, apresentamos um comparativo no município referente aos meses de Maio/2019 x Dezembro/2019:</w:t>
      </w:r>
    </w:p>
    <w:p w:rsidR="00D44A3C" w:rsidRDefault="00D44A3C">
      <w:pPr>
        <w:spacing w:line="360" w:lineRule="auto"/>
        <w:jc w:val="both"/>
      </w:pPr>
    </w:p>
    <w:p w:rsidR="00D44A3C" w:rsidRDefault="00D44A3C">
      <w:pPr>
        <w:spacing w:line="360" w:lineRule="auto"/>
        <w:jc w:val="both"/>
      </w:pPr>
      <w:r>
        <w:rPr>
          <w:rFonts w:ascii="Arial" w:hAnsi="Arial" w:cs="Arial"/>
        </w:rPr>
        <w:t xml:space="preserve">Mês/Referência: </w:t>
      </w:r>
      <w:r>
        <w:rPr>
          <w:rFonts w:ascii="Arial" w:hAnsi="Arial" w:cs="Arial"/>
          <w:b/>
          <w:bCs/>
        </w:rPr>
        <w:t>Maio/2019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95"/>
        <w:gridCol w:w="735"/>
        <w:gridCol w:w="225"/>
        <w:gridCol w:w="2775"/>
        <w:gridCol w:w="821"/>
      </w:tblGrid>
      <w:tr w:rsidR="00D44A3C">
        <w:tc>
          <w:tcPr>
            <w:tcW w:w="28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BPC Idoso</w:t>
            </w:r>
          </w:p>
        </w:tc>
        <w:tc>
          <w:tcPr>
            <w:tcW w:w="7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1.141</w:t>
            </w:r>
          </w:p>
        </w:tc>
        <w:tc>
          <w:tcPr>
            <w:tcW w:w="22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Famílias beneficiárias Programa de Transferência de Renda – Bolsa Família</w:t>
            </w:r>
          </w:p>
        </w:tc>
        <w:tc>
          <w:tcPr>
            <w:tcW w:w="82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3.136</w:t>
            </w:r>
          </w:p>
        </w:tc>
      </w:tr>
      <w:tr w:rsidR="00D44A3C">
        <w:tc>
          <w:tcPr>
            <w:tcW w:w="28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BPC Pessoa com Deficiência</w:t>
            </w:r>
          </w:p>
        </w:tc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901</w:t>
            </w:r>
          </w:p>
        </w:tc>
        <w:tc>
          <w:tcPr>
            <w:tcW w:w="22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4A3C">
        <w:tc>
          <w:tcPr>
            <w:tcW w:w="28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Beneficiários BPC</w:t>
            </w:r>
          </w:p>
        </w:tc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2.042</w:t>
            </w:r>
          </w:p>
        </w:tc>
        <w:tc>
          <w:tcPr>
            <w:tcW w:w="22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7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D44A3C" w:rsidRDefault="00D44A3C">
      <w:pPr>
        <w:spacing w:line="360" w:lineRule="auto"/>
        <w:jc w:val="both"/>
      </w:pPr>
    </w:p>
    <w:p w:rsidR="00D44A3C" w:rsidRDefault="00D44A3C">
      <w:pPr>
        <w:spacing w:line="360" w:lineRule="auto"/>
        <w:jc w:val="both"/>
      </w:pPr>
      <w:r>
        <w:rPr>
          <w:rFonts w:ascii="Arial" w:hAnsi="Arial" w:cs="Arial"/>
        </w:rPr>
        <w:lastRenderedPageBreak/>
        <w:t xml:space="preserve">Mês/Referência: </w:t>
      </w:r>
      <w:r>
        <w:rPr>
          <w:rFonts w:ascii="Arial" w:hAnsi="Arial" w:cs="Arial"/>
          <w:b/>
          <w:bCs/>
        </w:rPr>
        <w:t>Dezembro/2019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95"/>
        <w:gridCol w:w="735"/>
        <w:gridCol w:w="225"/>
        <w:gridCol w:w="2775"/>
        <w:gridCol w:w="821"/>
      </w:tblGrid>
      <w:tr w:rsidR="00D44A3C">
        <w:tc>
          <w:tcPr>
            <w:tcW w:w="28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BPC Idoso</w:t>
            </w:r>
          </w:p>
        </w:tc>
        <w:tc>
          <w:tcPr>
            <w:tcW w:w="7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984</w:t>
            </w:r>
          </w:p>
        </w:tc>
        <w:tc>
          <w:tcPr>
            <w:tcW w:w="22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Famílias beneficiárias Programa de Transferência de Renda – Bolsa Família</w:t>
            </w:r>
          </w:p>
        </w:tc>
        <w:tc>
          <w:tcPr>
            <w:tcW w:w="82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2.699</w:t>
            </w:r>
          </w:p>
        </w:tc>
      </w:tr>
      <w:tr w:rsidR="00D44A3C">
        <w:tc>
          <w:tcPr>
            <w:tcW w:w="28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BPC Pessoa com Deficiência</w:t>
            </w:r>
          </w:p>
        </w:tc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903</w:t>
            </w:r>
          </w:p>
        </w:tc>
        <w:tc>
          <w:tcPr>
            <w:tcW w:w="22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4A3C">
        <w:trPr>
          <w:trHeight w:val="111"/>
        </w:trPr>
        <w:tc>
          <w:tcPr>
            <w:tcW w:w="28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Beneficiários BPC</w:t>
            </w:r>
          </w:p>
        </w:tc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1.887</w:t>
            </w:r>
          </w:p>
        </w:tc>
        <w:tc>
          <w:tcPr>
            <w:tcW w:w="22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7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D44A3C" w:rsidRDefault="00D44A3C">
      <w:pPr>
        <w:spacing w:line="360" w:lineRule="auto"/>
        <w:rPr>
          <w:rFonts w:ascii="Arial" w:hAnsi="Arial" w:cs="Arial"/>
        </w:rPr>
      </w:pPr>
    </w:p>
    <w:p w:rsidR="00D44A3C" w:rsidRDefault="00D44A3C">
      <w:pPr>
        <w:spacing w:line="360" w:lineRule="auto"/>
        <w:rPr>
          <w:rFonts w:ascii="Arial" w:hAnsi="Arial" w:cs="Arial"/>
        </w:rPr>
      </w:pPr>
    </w:p>
    <w:p w:rsidR="00D44A3C" w:rsidRDefault="00D44A3C">
      <w:pPr>
        <w:spacing w:line="360" w:lineRule="auto"/>
        <w:rPr>
          <w:rFonts w:ascii="Arial" w:hAnsi="Arial" w:cs="Arial"/>
        </w:rPr>
      </w:pPr>
    </w:p>
    <w:p w:rsidR="00D44A3C" w:rsidRDefault="00D44A3C">
      <w:pPr>
        <w:spacing w:line="360" w:lineRule="auto"/>
        <w:rPr>
          <w:rFonts w:ascii="Arial" w:hAnsi="Arial" w:cs="Arial"/>
        </w:rPr>
      </w:pPr>
    </w:p>
    <w:p w:rsidR="00D44A3C" w:rsidRDefault="00D44A3C">
      <w:pPr>
        <w:numPr>
          <w:ilvl w:val="0"/>
          <w:numId w:val="2"/>
        </w:numPr>
        <w:spacing w:line="276" w:lineRule="auto"/>
        <w:ind w:left="397" w:firstLine="0"/>
        <w:jc w:val="both"/>
      </w:pPr>
      <w:r>
        <w:rPr>
          <w:rFonts w:ascii="Arial" w:hAnsi="Arial" w:cs="Arial"/>
          <w:b/>
          <w:bCs/>
        </w:rPr>
        <w:t>Serviço de Proteção e Atendimento Especializado a Família e Indivíduo:</w:t>
      </w:r>
    </w:p>
    <w:p w:rsidR="00D44A3C" w:rsidRDefault="00D44A3C">
      <w:pPr>
        <w:spacing w:line="360" w:lineRule="auto"/>
        <w:jc w:val="both"/>
      </w:pPr>
      <w:r>
        <w:rPr>
          <w:rFonts w:ascii="Arial" w:hAnsi="Arial" w:cs="Arial"/>
          <w:b/>
          <w:bCs/>
          <w:sz w:val="22"/>
          <w:szCs w:val="22"/>
        </w:rPr>
        <w:t>Famílias em acompanhamento no PAEFI por tipo de violação e região de moradia*, ANO 2018 – Janeiro a Outubro de 2018</w:t>
      </w:r>
    </w:p>
    <w:p w:rsidR="00D44A3C" w:rsidRDefault="00D44A3C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>*Para efeito de registro agrupamos os bairros de origem das famílias em acompanhamento de acordo com a setorização da Secretaria de Promoção Social referente à Proteção Social Básica: territórios referenciados aos CRAS’s/ NAS’s.</w:t>
      </w:r>
    </w:p>
    <w:p w:rsidR="00D44A3C" w:rsidRDefault="00D44A3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object w:dxaOrig="8003" w:dyaOrig="4271">
          <v:shape id="_x0000_s1026" type="#_x0000_t75" style="position:absolute;left:0;text-align:left;margin-left:16.65pt;margin-top:.4pt;width:471.5pt;height:233.25pt;z-index:1;mso-wrap-distance-left:0;mso-wrap-distance-right:0" filled="t">
            <v:fill color2="black"/>
            <v:imagedata r:id="rId13" o:title="" croptop="-14f" cropbottom="-14f" cropleft="-6f" cropright="-6f"/>
            <w10:wrap type="square" side="largest"/>
          </v:shape>
          <o:OLEObject Type="Embed" ShapeID="_x0000_s1026" DrawAspect="Content" ObjectID="_1661677494" r:id="rId14"/>
        </w:object>
      </w:r>
    </w:p>
    <w:p w:rsidR="00D44A3C" w:rsidRDefault="00D44A3C">
      <w:pPr>
        <w:spacing w:line="360" w:lineRule="auto"/>
        <w:rPr>
          <w:rFonts w:ascii="Arial" w:hAnsi="Arial" w:cs="Arial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r>
        <w:rPr>
          <w:rFonts w:ascii="Arial" w:hAnsi="Arial" w:cs="Arial"/>
          <w:sz w:val="22"/>
          <w:szCs w:val="22"/>
        </w:rPr>
        <w:t>Crianças e Adolescentes que ingressaram no PAEFI – Período de Janeiro à Outubro/2018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20"/>
        <w:gridCol w:w="1342"/>
        <w:gridCol w:w="1109"/>
        <w:gridCol w:w="803"/>
      </w:tblGrid>
      <w:tr w:rsidR="00D44A3C">
        <w:tc>
          <w:tcPr>
            <w:tcW w:w="2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VIOLAÇÃO</w:t>
            </w:r>
          </w:p>
        </w:tc>
        <w:tc>
          <w:tcPr>
            <w:tcW w:w="1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MASCULINO</w:t>
            </w:r>
          </w:p>
        </w:tc>
        <w:tc>
          <w:tcPr>
            <w:tcW w:w="11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FEMININO</w:t>
            </w:r>
          </w:p>
        </w:tc>
        <w:tc>
          <w:tcPr>
            <w:tcW w:w="8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</w:tr>
      <w:tr w:rsidR="00D44A3C">
        <w:tc>
          <w:tcPr>
            <w:tcW w:w="2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Negligência ou abandono</w:t>
            </w:r>
          </w:p>
        </w:tc>
        <w:tc>
          <w:tcPr>
            <w:tcW w:w="134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11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94</w:t>
            </w:r>
          </w:p>
        </w:tc>
      </w:tr>
      <w:tr w:rsidR="00D44A3C">
        <w:tc>
          <w:tcPr>
            <w:tcW w:w="2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Violência intrafamiliar</w:t>
            </w:r>
          </w:p>
        </w:tc>
        <w:tc>
          <w:tcPr>
            <w:tcW w:w="134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87</w:t>
            </w:r>
          </w:p>
        </w:tc>
      </w:tr>
      <w:tr w:rsidR="00D44A3C">
        <w:tc>
          <w:tcPr>
            <w:tcW w:w="2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Abuso sexual</w:t>
            </w:r>
          </w:p>
        </w:tc>
        <w:tc>
          <w:tcPr>
            <w:tcW w:w="134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</w:tr>
      <w:tr w:rsidR="00D44A3C">
        <w:tc>
          <w:tcPr>
            <w:tcW w:w="2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 xml:space="preserve">Situação de Trabalho Infantil </w:t>
            </w:r>
          </w:p>
        </w:tc>
        <w:tc>
          <w:tcPr>
            <w:tcW w:w="134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D44A3C">
        <w:tc>
          <w:tcPr>
            <w:tcW w:w="2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Exploração sexual</w:t>
            </w:r>
          </w:p>
        </w:tc>
        <w:tc>
          <w:tcPr>
            <w:tcW w:w="134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</w:tbl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rPr>
          <w:rFonts w:ascii="Arial" w:hAnsi="Arial" w:cs="Arial"/>
          <w:sz w:val="22"/>
          <w:szCs w:val="22"/>
        </w:rPr>
      </w:pPr>
      <w:r>
        <w:lastRenderedPageBreak/>
        <w:object w:dxaOrig="8003" w:dyaOrig="4271">
          <v:shape id="_x0000_s1041" type="#_x0000_t75" style="position:absolute;margin-left:6pt;margin-top:7.45pt;width:464.05pt;height:255.3pt;z-index:16;mso-wrap-distance-left:0;mso-wrap-distance-right:0" filled="t">
            <v:fill color2="black"/>
            <v:imagedata r:id="rId15" o:title="" croptop="-12f" cropbottom="-12f" cropleft="-7f" cropright="-7f"/>
            <w10:wrap type="square" side="largest"/>
          </v:shape>
          <o:OLEObject Type="Embed" ShapeID="_x0000_s1041" DrawAspect="Content" ObjectID="_1661677495" r:id="rId16"/>
        </w:object>
      </w:r>
    </w:p>
    <w:p w:rsidR="00D44A3C" w:rsidRDefault="00D44A3C">
      <w:pPr>
        <w:rPr>
          <w:rFonts w:ascii="Arial" w:hAnsi="Arial" w:cs="Arial"/>
          <w:sz w:val="22"/>
          <w:szCs w:val="22"/>
        </w:rPr>
      </w:pPr>
    </w:p>
    <w:p w:rsidR="00D44A3C" w:rsidRDefault="00D44A3C">
      <w:pPr>
        <w:numPr>
          <w:ilvl w:val="0"/>
          <w:numId w:val="2"/>
        </w:numPr>
        <w:spacing w:line="276" w:lineRule="auto"/>
        <w:ind w:left="397" w:firstLine="0"/>
        <w:jc w:val="both"/>
      </w:pPr>
      <w:r>
        <w:rPr>
          <w:rFonts w:ascii="Arial" w:hAnsi="Arial" w:cs="Arial"/>
          <w:b/>
          <w:bCs/>
        </w:rPr>
        <w:t>Serviço de Medidas Socioeducativas em Meio Aberto</w:t>
      </w:r>
      <w:r>
        <w:rPr>
          <w:rFonts w:ascii="Arial" w:hAnsi="Arial" w:cs="Arial"/>
          <w:b/>
          <w:bCs/>
          <w:sz w:val="22"/>
          <w:szCs w:val="22"/>
        </w:rPr>
        <w:t>, ANO 2018 – Janeiro a Outubro de 2018, por Ato Infracional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(existentes mais entradas no ano)</w:t>
      </w:r>
      <w:r>
        <w:rPr>
          <w:rFonts w:ascii="Arial" w:hAnsi="Arial" w:cs="Arial"/>
          <w:sz w:val="22"/>
          <w:szCs w:val="22"/>
        </w:rPr>
        <w:t>.</w:t>
      </w:r>
    </w:p>
    <w:p w:rsidR="00D44A3C" w:rsidRDefault="00D44A3C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object w:dxaOrig="8003" w:dyaOrig="4271">
          <v:shape id="_x0000_s1027" type="#_x0000_t75" style="position:absolute;left:0;text-align:left;margin-left:0;margin-top:.4pt;width:278.7pt;height:268.75pt;z-index:2;mso-wrap-distance-left:0;mso-wrap-distance-right:0;mso-position-horizontal:center" filled="t">
            <v:fill color2="black"/>
            <v:imagedata r:id="rId17" o:title="" croptop="-7f" cropbottom="-7f" cropleft="-6f" cropright="-6f"/>
            <w10:wrap type="square" side="largest"/>
          </v:shape>
          <o:OLEObject Type="Embed" ProgID="Excel.Sheet.8" ShapeID="_x0000_s1027" DrawAspect="Content" ObjectID="_1661677496" r:id="rId18"/>
        </w:object>
      </w:r>
    </w:p>
    <w:p w:rsidR="00D44A3C" w:rsidRDefault="00D44A3C">
      <w:pPr>
        <w:spacing w:line="276" w:lineRule="auto"/>
        <w:ind w:left="397"/>
        <w:jc w:val="both"/>
        <w:rPr>
          <w:rFonts w:ascii="Arial" w:hAnsi="Arial" w:cs="Arial"/>
          <w:b/>
          <w:bCs/>
          <w:sz w:val="22"/>
          <w:szCs w:val="22"/>
        </w:rPr>
      </w:pPr>
    </w:p>
    <w:p w:rsidR="00D44A3C" w:rsidRDefault="00D44A3C">
      <w:pPr>
        <w:spacing w:line="276" w:lineRule="auto"/>
        <w:ind w:left="397"/>
        <w:jc w:val="both"/>
        <w:rPr>
          <w:rFonts w:ascii="Arial" w:hAnsi="Arial" w:cs="Arial"/>
          <w:b/>
          <w:bCs/>
          <w:sz w:val="22"/>
          <w:szCs w:val="22"/>
        </w:rPr>
      </w:pPr>
    </w:p>
    <w:p w:rsidR="00D44A3C" w:rsidRDefault="00D44A3C">
      <w:pPr>
        <w:spacing w:line="276" w:lineRule="auto"/>
        <w:ind w:left="397"/>
        <w:jc w:val="both"/>
        <w:rPr>
          <w:rFonts w:ascii="Arial" w:hAnsi="Arial" w:cs="Arial"/>
          <w:b/>
          <w:bCs/>
          <w:sz w:val="22"/>
          <w:szCs w:val="22"/>
        </w:rPr>
      </w:pPr>
    </w:p>
    <w:p w:rsidR="00D44A3C" w:rsidRDefault="00D44A3C">
      <w:pPr>
        <w:spacing w:line="276" w:lineRule="auto"/>
        <w:ind w:left="397"/>
        <w:jc w:val="both"/>
        <w:rPr>
          <w:rFonts w:ascii="Arial" w:hAnsi="Arial" w:cs="Arial"/>
          <w:b/>
          <w:bCs/>
          <w:sz w:val="22"/>
          <w:szCs w:val="22"/>
        </w:rPr>
      </w:pPr>
    </w:p>
    <w:p w:rsidR="00D44A3C" w:rsidRDefault="00D44A3C">
      <w:pPr>
        <w:spacing w:line="276" w:lineRule="auto"/>
        <w:ind w:left="397"/>
        <w:jc w:val="both"/>
        <w:rPr>
          <w:rFonts w:ascii="Arial" w:hAnsi="Arial" w:cs="Arial"/>
          <w:b/>
          <w:bCs/>
          <w:sz w:val="22"/>
          <w:szCs w:val="22"/>
        </w:rPr>
      </w:pPr>
    </w:p>
    <w:p w:rsidR="00D44A3C" w:rsidRDefault="00D44A3C">
      <w:pPr>
        <w:spacing w:line="276" w:lineRule="auto"/>
        <w:ind w:left="397"/>
        <w:jc w:val="both"/>
        <w:rPr>
          <w:rFonts w:ascii="Arial" w:hAnsi="Arial" w:cs="Arial"/>
          <w:b/>
          <w:bCs/>
          <w:sz w:val="22"/>
          <w:szCs w:val="22"/>
        </w:rPr>
      </w:pPr>
    </w:p>
    <w:p w:rsidR="00D44A3C" w:rsidRDefault="00D44A3C">
      <w:pPr>
        <w:spacing w:line="276" w:lineRule="auto"/>
        <w:ind w:left="397"/>
        <w:jc w:val="both"/>
        <w:rPr>
          <w:rFonts w:ascii="Arial" w:hAnsi="Arial" w:cs="Arial"/>
          <w:b/>
          <w:bCs/>
          <w:sz w:val="22"/>
          <w:szCs w:val="22"/>
        </w:rPr>
      </w:pPr>
    </w:p>
    <w:p w:rsidR="00D44A3C" w:rsidRDefault="00D44A3C">
      <w:pPr>
        <w:spacing w:line="276" w:lineRule="auto"/>
        <w:ind w:left="397"/>
        <w:jc w:val="both"/>
        <w:rPr>
          <w:rFonts w:ascii="Arial" w:hAnsi="Arial" w:cs="Arial"/>
          <w:b/>
          <w:bCs/>
          <w:sz w:val="22"/>
          <w:szCs w:val="22"/>
        </w:rPr>
      </w:pPr>
    </w:p>
    <w:p w:rsidR="00D44A3C" w:rsidRDefault="00D44A3C">
      <w:pPr>
        <w:spacing w:line="276" w:lineRule="auto"/>
        <w:ind w:left="397"/>
        <w:jc w:val="both"/>
        <w:rPr>
          <w:rFonts w:ascii="Arial" w:hAnsi="Arial" w:cs="Arial"/>
          <w:b/>
          <w:bCs/>
          <w:sz w:val="22"/>
          <w:szCs w:val="22"/>
        </w:rPr>
      </w:pPr>
    </w:p>
    <w:p w:rsidR="00D44A3C" w:rsidRDefault="00D44A3C">
      <w:pPr>
        <w:spacing w:line="276" w:lineRule="auto"/>
        <w:ind w:left="397"/>
        <w:jc w:val="both"/>
        <w:rPr>
          <w:rFonts w:ascii="Arial" w:hAnsi="Arial" w:cs="Arial"/>
          <w:b/>
          <w:bCs/>
          <w:sz w:val="22"/>
          <w:szCs w:val="22"/>
        </w:rPr>
      </w:pPr>
    </w:p>
    <w:p w:rsidR="00D44A3C" w:rsidRDefault="00D44A3C">
      <w:pPr>
        <w:spacing w:line="276" w:lineRule="auto"/>
        <w:ind w:left="397"/>
        <w:jc w:val="both"/>
        <w:rPr>
          <w:rFonts w:ascii="Arial" w:hAnsi="Arial" w:cs="Arial"/>
          <w:b/>
          <w:bCs/>
          <w:sz w:val="22"/>
          <w:szCs w:val="22"/>
        </w:rPr>
      </w:pPr>
    </w:p>
    <w:p w:rsidR="00D44A3C" w:rsidRDefault="00D44A3C">
      <w:pPr>
        <w:spacing w:line="276" w:lineRule="auto"/>
        <w:ind w:left="397"/>
        <w:jc w:val="both"/>
        <w:rPr>
          <w:rFonts w:ascii="Arial" w:hAnsi="Arial" w:cs="Arial"/>
          <w:b/>
          <w:bCs/>
          <w:sz w:val="22"/>
          <w:szCs w:val="22"/>
        </w:rPr>
      </w:pPr>
    </w:p>
    <w:p w:rsidR="00D44A3C" w:rsidRDefault="00D44A3C">
      <w:pPr>
        <w:spacing w:line="276" w:lineRule="auto"/>
        <w:ind w:left="397"/>
        <w:jc w:val="both"/>
        <w:rPr>
          <w:rFonts w:ascii="Arial" w:hAnsi="Arial" w:cs="Arial"/>
          <w:b/>
          <w:bCs/>
          <w:sz w:val="22"/>
          <w:szCs w:val="22"/>
        </w:rPr>
      </w:pPr>
    </w:p>
    <w:p w:rsidR="00D44A3C" w:rsidRDefault="00D44A3C">
      <w:pPr>
        <w:spacing w:line="276" w:lineRule="auto"/>
        <w:ind w:left="397"/>
        <w:jc w:val="both"/>
        <w:rPr>
          <w:rFonts w:ascii="Arial" w:hAnsi="Arial" w:cs="Arial"/>
          <w:b/>
          <w:bCs/>
          <w:sz w:val="22"/>
          <w:szCs w:val="22"/>
        </w:rPr>
      </w:pPr>
    </w:p>
    <w:p w:rsidR="00D44A3C" w:rsidRDefault="00D44A3C">
      <w:pPr>
        <w:spacing w:line="360" w:lineRule="auto"/>
        <w:rPr>
          <w:rFonts w:ascii="Arial" w:hAnsi="Arial" w:cs="Arial"/>
        </w:rPr>
      </w:pPr>
    </w:p>
    <w:p w:rsidR="00D44A3C" w:rsidRDefault="00D44A3C">
      <w:pPr>
        <w:spacing w:line="360" w:lineRule="auto"/>
        <w:rPr>
          <w:rFonts w:ascii="Arial" w:hAnsi="Arial" w:cs="Arial"/>
        </w:rPr>
      </w:pPr>
    </w:p>
    <w:p w:rsidR="00D44A3C" w:rsidRDefault="00D44A3C">
      <w:pPr>
        <w:spacing w:line="360" w:lineRule="auto"/>
        <w:rPr>
          <w:rFonts w:ascii="Arial" w:hAnsi="Arial" w:cs="Arial"/>
        </w:rPr>
      </w:pPr>
      <w:r>
        <w:object w:dxaOrig="8003" w:dyaOrig="4271">
          <v:shape id="_x0000_s1042" type="#_x0000_t75" style="position:absolute;margin-left:12.7pt;margin-top:5.15pt;width:401.1pt;height:259pt;z-index:17;mso-wrap-distance-left:0;mso-wrap-distance-right:0" filled="t">
            <v:fill color2="black"/>
            <v:imagedata r:id="rId19" o:title="" croptop="-12f" cropbottom="-12f" cropleft="-8f" cropright="-8f"/>
            <w10:wrap type="square" side="largest"/>
          </v:shape>
          <o:OLEObject Type="Embed" ShapeID="_x0000_s1042" DrawAspect="Content" ObjectID="_1661677497" r:id="rId20"/>
        </w:object>
      </w:r>
    </w:p>
    <w:p w:rsidR="00D44A3C" w:rsidRDefault="00D44A3C">
      <w:pPr>
        <w:spacing w:line="360" w:lineRule="auto"/>
        <w:rPr>
          <w:rFonts w:ascii="Arial" w:eastAsia="Arial" w:hAnsi="Arial" w:cs="Arial"/>
        </w:rPr>
      </w:pPr>
    </w:p>
    <w:p w:rsidR="00D44A3C" w:rsidRDefault="00D44A3C">
      <w:pPr>
        <w:spacing w:line="360" w:lineRule="auto"/>
        <w:rPr>
          <w:rFonts w:ascii="Arial" w:eastAsia="Arial" w:hAnsi="Arial" w:cs="Arial"/>
        </w:rPr>
      </w:pPr>
    </w:p>
    <w:p w:rsidR="00D44A3C" w:rsidRDefault="00D44A3C">
      <w:pPr>
        <w:spacing w:line="360" w:lineRule="auto"/>
        <w:rPr>
          <w:rFonts w:ascii="Arial" w:eastAsia="Arial" w:hAnsi="Arial" w:cs="Arial"/>
        </w:rPr>
      </w:pPr>
    </w:p>
    <w:p w:rsidR="00D44A3C" w:rsidRDefault="00D44A3C">
      <w:pPr>
        <w:spacing w:line="360" w:lineRule="auto"/>
        <w:rPr>
          <w:rFonts w:ascii="Arial" w:eastAsia="Arial" w:hAnsi="Arial" w:cs="Arial"/>
        </w:rPr>
      </w:pPr>
    </w:p>
    <w:p w:rsidR="00D44A3C" w:rsidRDefault="00D44A3C">
      <w:pPr>
        <w:spacing w:line="360" w:lineRule="auto"/>
        <w:rPr>
          <w:rFonts w:ascii="Arial" w:eastAsia="Arial" w:hAnsi="Arial" w:cs="Arial"/>
        </w:rPr>
      </w:pPr>
    </w:p>
    <w:p w:rsidR="00D44A3C" w:rsidRDefault="00D44A3C">
      <w:pPr>
        <w:spacing w:line="360" w:lineRule="auto"/>
        <w:rPr>
          <w:rFonts w:ascii="Arial" w:eastAsia="Arial" w:hAnsi="Arial" w:cs="Arial"/>
        </w:rPr>
      </w:pPr>
    </w:p>
    <w:p w:rsidR="00D44A3C" w:rsidRDefault="00D44A3C">
      <w:pPr>
        <w:spacing w:line="360" w:lineRule="auto"/>
        <w:rPr>
          <w:rFonts w:ascii="Arial" w:eastAsia="Arial" w:hAnsi="Arial" w:cs="Arial"/>
        </w:rPr>
      </w:pPr>
    </w:p>
    <w:p w:rsidR="00D44A3C" w:rsidRDefault="00D44A3C">
      <w:pPr>
        <w:spacing w:line="360" w:lineRule="auto"/>
        <w:rPr>
          <w:rFonts w:ascii="Arial" w:eastAsia="Arial" w:hAnsi="Arial" w:cs="Arial"/>
        </w:rPr>
      </w:pPr>
    </w:p>
    <w:p w:rsidR="00D44A3C" w:rsidRDefault="00D44A3C">
      <w:pPr>
        <w:spacing w:line="360" w:lineRule="auto"/>
        <w:rPr>
          <w:rFonts w:ascii="Arial" w:eastAsia="Arial" w:hAnsi="Arial" w:cs="Arial"/>
        </w:rPr>
      </w:pPr>
    </w:p>
    <w:p w:rsidR="00D44A3C" w:rsidRDefault="00D44A3C">
      <w:pPr>
        <w:spacing w:line="360" w:lineRule="auto"/>
        <w:rPr>
          <w:rFonts w:ascii="Arial" w:eastAsia="Arial" w:hAnsi="Arial" w:cs="Arial"/>
        </w:rPr>
      </w:pPr>
    </w:p>
    <w:p w:rsidR="00D44A3C" w:rsidRDefault="00D44A3C">
      <w:pPr>
        <w:spacing w:line="360" w:lineRule="auto"/>
        <w:jc w:val="both"/>
        <w:rPr>
          <w:rFonts w:ascii="Arial" w:eastAsia="Arial" w:hAnsi="Arial" w:cs="Arial"/>
        </w:rPr>
      </w:pPr>
    </w:p>
    <w:p w:rsidR="00D44A3C" w:rsidRDefault="00D44A3C">
      <w:pPr>
        <w:spacing w:line="360" w:lineRule="auto"/>
        <w:jc w:val="both"/>
        <w:rPr>
          <w:rFonts w:ascii="Arial" w:eastAsia="Arial" w:hAnsi="Arial" w:cs="Arial"/>
        </w:rPr>
      </w:pPr>
    </w:p>
    <w:p w:rsidR="00D44A3C" w:rsidRDefault="00D44A3C">
      <w:pPr>
        <w:spacing w:line="360" w:lineRule="auto"/>
        <w:jc w:val="both"/>
        <w:rPr>
          <w:rFonts w:ascii="Arial" w:eastAsia="Arial" w:hAnsi="Arial" w:cs="Arial"/>
        </w:rPr>
      </w:pP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ab/>
        <w:t>No que refere as oficinas realizadas nos territórios, destacamos que a preocupação predominante das famílias, está pautada na dificuldade de inserção dos adolescentes em cursos profissionalizantes, visto que não dispõem de recursos financeiros para o custeio de qualificação profissional e são poucas vagas destinadas a bolsistas.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ab/>
        <w:t xml:space="preserve">Ainda com relação a situação que envolve os adolescentes no município, os pais e responsáveis salientam a preocupação com a evasão escolar dos adolescentes que ocorre no ensino fundamental II, principalmente no 6º e 7º ano. Destacam também a preocupação com a falta de professores que é recorrente, o que resulta num período de ociosidade, favorecendo o tráfico e o uso de drogas dentro das instituições de ensino. 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</w:rPr>
        <w:tab/>
        <w:t xml:space="preserve">Outra questão comum que foi apontada em todos os territórios, é a de que segundo as famílias, os adolescentes “não querem estudar”, apresentam muitas “necessidades de consumo” e querem dinheiro para satisfazê-las, enfatizam a dificuldade  </w:t>
      </w:r>
      <w:r>
        <w:rPr>
          <w:rFonts w:ascii="Arial" w:eastAsia="Arial" w:hAnsi="Arial" w:cs="Arial"/>
        </w:rPr>
        <w:lastRenderedPageBreak/>
        <w:t xml:space="preserve">em supri-las, por isso muitas vezes perdemos para o tráfico de drogas, entre outras situações que envolve o trabalho infantil. </w:t>
      </w:r>
    </w:p>
    <w:p w:rsidR="00D44A3C" w:rsidRDefault="00D44A3C">
      <w:pPr>
        <w:pageBreakBefore/>
        <w:spacing w:line="360" w:lineRule="auto"/>
        <w:jc w:val="both"/>
      </w:pPr>
      <w:r>
        <w:rPr>
          <w:rFonts w:ascii="Arial" w:eastAsia="Arial" w:hAnsi="Arial" w:cs="Arial"/>
          <w:b/>
          <w:bCs/>
          <w:i/>
          <w:iCs/>
        </w:rPr>
        <w:lastRenderedPageBreak/>
        <w:t>3. Conceitos da Matriz Lógica:</w:t>
      </w:r>
    </w:p>
    <w:p w:rsidR="00D44A3C" w:rsidRDefault="00D44A3C">
      <w:pPr>
        <w:spacing w:line="360" w:lineRule="auto"/>
        <w:jc w:val="both"/>
        <w:rPr>
          <w:b/>
          <w:bCs/>
          <w:i/>
          <w:iCs/>
        </w:rPr>
      </w:pP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  <w:b/>
          <w:bCs/>
          <w:i/>
          <w:iCs/>
          <w:u w:val="single"/>
        </w:rPr>
        <w:t>Problema Central:</w:t>
      </w:r>
      <w:r>
        <w:rPr>
          <w:rFonts w:ascii="Arial" w:eastAsia="Arial" w:hAnsi="Arial" w:cs="Arial"/>
        </w:rPr>
        <w:t xml:space="preserve"> Crianças e Adolescentes em Situação de Risco em Decorrência do Trabalho Infantil.</w:t>
      </w:r>
    </w:p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  <w:b/>
          <w:bCs/>
          <w:i/>
          <w:iCs/>
          <w:u w:val="single"/>
        </w:rPr>
        <w:t>Objetivo de Impacto:</w:t>
      </w:r>
      <w:r>
        <w:rPr>
          <w:rFonts w:ascii="Arial" w:eastAsia="Arial" w:hAnsi="Arial" w:cs="Arial"/>
        </w:rPr>
        <w:t xml:space="preserve"> Crianças e Adolescentes Afastados do Trabalho Infantil</w:t>
      </w:r>
    </w:p>
    <w:p w:rsidR="00D44A3C" w:rsidRDefault="00D44A3C">
      <w:pPr>
        <w:spacing w:line="360" w:lineRule="auto"/>
        <w:jc w:val="both"/>
        <w:rPr>
          <w:b/>
          <w:bCs/>
          <w:i/>
          <w:iCs/>
          <w:u w:val="single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31"/>
      </w:tblGrid>
      <w:tr w:rsidR="00D44A3C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Resultado Esperado/ </w:t>
            </w:r>
          </w:p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Indicador de Resultado</w:t>
            </w:r>
          </w:p>
        </w:tc>
        <w:tc>
          <w:tcPr>
            <w:tcW w:w="32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Meio de Verificação</w:t>
            </w:r>
          </w:p>
        </w:tc>
      </w:tr>
      <w:tr w:rsidR="00D44A3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Reduzir 50% a Evasão Escolar como forma de prevenção a situação de risco ocasionada, entre outros pelo Trabalho Infantil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Nº de Crianças e Adolescentes matriculados com frequência escolar;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Índice de Desenvolvimento na Educação Básica (IDEB) – anos finais ensino fundamental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Índice de Desenvolvimento na Educação Básica (IDEB) – anos iniciais ensino fundamental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Índice de Desenvolvimento da Educação Básica (IDEB) – Ensino Médio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Nº de estabelecimentos do Ensino Fundamental anos iniciais segundo localização (urbano e rural)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Nº de estabelecimentos do Ensino Fundamental anos finais segundo localização (urbano e rural)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Nº de estabelecimentos do Ensino Médio segundo localização (urbano e rural)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Nº de matrículas no Ensino de Jovens e Adultos – EJA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Nº de matrículas no Ensino Fundamental segundo cor/raça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Nº de matrículas no Ensino Fundamental Integral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Nº de matrículas no Ensino Fundamental segundo sexo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Nº de matrículas no Ensino Médio segundo cor/raça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Nº de matrículas no Ensino Médio segundo dependência administrativa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Nº de matrículas no Ensino Médio segundo sexo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População de 15 a 17 anos fora da escola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População de 15 a 17 anos fora da escola segundo cor/raça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População de 15 a 17 anos fora da escola segundo sexo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População de 06 a 14 anos fora da escola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População de 06 a 14 anos fora da escola segundo sexo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Taxa de abandono do ensino fundamental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Taxa de abandono do ensino médio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Taxa de abandono anos iniciais e anos finais do ensino fundamental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Taxa de distorção idade/série ensino fundamental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Taxa de distorção idade/série ensino médio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Taxa de aprovação anos iniciais e finais ensino fundamental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Taxa de aprovação ensino médio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Taxa de Escolarização bruta no ensino fundamental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Taxa de Escolarização bruta no ensino médio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ODS’s 4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- Frequência Escolar – Acompanhamento Bolsa Família;</w:t>
            </w: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- Notificações recebidas pelo Conselho Tutelar das Escolas da Rede;</w:t>
            </w: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- Censo Escolar.</w:t>
            </w:r>
          </w:p>
        </w:tc>
      </w:tr>
      <w:tr w:rsidR="00D44A3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Reduzir 60% das Situações de Trabalho Infantil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Nº de Adolescentes Afastados do Trabalho Infantil;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Proporção da população com menos de 14 anos de idade identificada às classes de rendimento mais baixo;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ODS1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Proporção da população identificada às classes de rendimento mais baixo.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ODS1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População entre 10 e 17 anos de idade ocupada segundo posição na ocupação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 8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População entre 5 e 17 anos de idade ocupada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 8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População entre 5 e 17 anos de idade ocupada segundo tipo de atividade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 8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População menor de 14 anos de idade ocupada em estabelecimentos agropecuário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 8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Proporção de ocupados entre 5 e 17 anos de idade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 8</w:t>
            </w:r>
          </w:p>
          <w:p w:rsidR="00D44A3C" w:rsidRDefault="00D44A3C">
            <w:pPr>
              <w:pStyle w:val="Contedodatabela"/>
              <w:jc w:val="both"/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Casos de notificação de exploração sexual de crianças e adolescentes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 16</w:t>
            </w:r>
          </w:p>
          <w:p w:rsidR="00D44A3C" w:rsidRDefault="00D44A3C">
            <w:pPr>
              <w:pStyle w:val="Contedodatabela"/>
              <w:jc w:val="both"/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Casos de notificação de adolescentes envolvidos com trafico de drogas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 16</w:t>
            </w:r>
          </w:p>
        </w:tc>
        <w:tc>
          <w:tcPr>
            <w:tcW w:w="32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- Cadastro Único – Famílias com Marcação no Trabalho Infantil;</w:t>
            </w: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- Relatórios da Rede referentes aos casos identificados e em acompanhamento;</w:t>
            </w: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- Dados da Vigilância Socioassistencial;</w:t>
            </w: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- População entre 10 e 17 de idade ocupada segundo posição na ocupação;</w:t>
            </w: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- População entre 5 e 17 anos ocupadas;</w:t>
            </w: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- População entre 5 e 17 anos ocupadas segundo tipo de atividade;</w:t>
            </w: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- População menor de 14 anos ocupada em estabelecimento agropecuário;</w:t>
            </w: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- Proporção de ocupados entre 5 e 17 anos de idade.</w:t>
            </w: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- Número de ocorrências de abuso, exploração, tráfico (fonte: disque 100, Conselho Tutelar e Secretaria de segurança e Trânsito). </w:t>
            </w:r>
          </w:p>
        </w:tc>
      </w:tr>
      <w:tr w:rsidR="00D44A3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Alcançar 100% do potencial de cotas da estrutura empresarial para contratação de adolescentes aprendiz no município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Nº de Contratos de Aprendizagem Profissional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 8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Nº de Contratos de Aprendizagem Profissional segundo seção de atividade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 8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Nº de Contratos de Aprendizagem Profissional segundo sexo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 8</w:t>
            </w:r>
          </w:p>
        </w:tc>
        <w:tc>
          <w:tcPr>
            <w:tcW w:w="32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Relatório Anual de Informações Sociais (RAIS) do Ministério do Trabalho.</w:t>
            </w:r>
          </w:p>
        </w:tc>
      </w:tr>
      <w:tr w:rsidR="00D44A3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- Acompanhar 100% das famílias em situação de descumprimento de condicionalidades do Programa Bolsa Família por situação de Evasão Escolar; e </w:t>
            </w: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- Acompanhar 100% das famílias com indivíduos identificados em situação de Exploração do Trabalho Infantil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Nº de Famílias beneficiárias do Programa Bolsa Família;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ODS1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Nº de Famílias em descumprimento de condicionalidades PBF;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Nº de Famílias com indivíduos em situação de trabalho infantil.</w:t>
            </w:r>
          </w:p>
          <w:p w:rsidR="00D44A3C" w:rsidRDefault="00D44A3C">
            <w:pPr>
              <w:pStyle w:val="Contedodatabel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Nº de Famílias com acesso e incluídas nas Políticas Públicas Setoriais </w:t>
            </w:r>
            <w:r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ODS10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2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- Relação das famílias Cadastro Único – Programa Bolsa Família;</w:t>
            </w:r>
          </w:p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- Referencia / contra referencia dos serviços das Políticas Públicas Setoriais.</w:t>
            </w:r>
          </w:p>
        </w:tc>
      </w:tr>
    </w:tbl>
    <w:p w:rsidR="00D44A3C" w:rsidRDefault="00D44A3C">
      <w:pPr>
        <w:spacing w:line="360" w:lineRule="auto"/>
        <w:jc w:val="both"/>
      </w:pPr>
      <w:r>
        <w:rPr>
          <w:rFonts w:ascii="Arial" w:eastAsia="Arial" w:hAnsi="Arial" w:cs="Arial"/>
          <w:i/>
          <w:iCs/>
        </w:rPr>
        <w:t xml:space="preserve">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060"/>
        <w:gridCol w:w="1590"/>
        <w:gridCol w:w="1470"/>
        <w:gridCol w:w="2220"/>
        <w:gridCol w:w="1323"/>
      </w:tblGrid>
      <w:tr w:rsidR="00D44A3C">
        <w:tc>
          <w:tcPr>
            <w:tcW w:w="9663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Meta 1:</w:t>
            </w:r>
            <w:r>
              <w:rPr>
                <w:rFonts w:ascii="Arial" w:hAnsi="Arial" w:cs="Arial"/>
                <w:sz w:val="20"/>
                <w:szCs w:val="20"/>
              </w:rPr>
              <w:t xml:space="preserve"> Reduzir 50% a Evasão Escolar como forma de prevenção a situação de risco ocasionada, entre outros pelo Trabalho Infantil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Ação / Projeto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Responsável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Envolvidos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Prazos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Fonte de Recursos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Interlocução permanente com a Rede Estadual de Ensino, a fim de garantir a continuidade dos projetos educacionais do município, ou seja, projetos de leitura, projetos esportivos, projeto de vida, projeto de educação financeira, bem como o trabalho desenvolvido na área de arte e  educação física.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Secretaria de Educação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Secretarias de Esportes, Cultura, Saúde, Educação, Promoção Social, DERA, SEBRAE, Setor Privado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Inicio: Março/2020</w:t>
            </w:r>
          </w:p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Término: Agosto/2029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Recursos já alocados nas secretarias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Viabilizar e incentivar o acesso de crianças e adolescentes, priorizando às que se encontram em situação de evasão escolar, através da participação em campeonatos municipais e festivais esportivos, na condição de atleta ou torcedor, com o objetivo de oportunizar experiências saudáveis, possibilitando a construção de novos projetos de vida, que venha a contribuir com a prevenção da situação de risco 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Secretaria de Esportes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Secretarias: Esportes; Educação, DERA, Promoção Social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Inicio: Março/2020</w:t>
            </w:r>
          </w:p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Término: Agosto/2029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Recursos já alocados nas secretarias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Promover o acesso por meio da inclusão social e do protagonismo juvenil, com oferta de cobertura em âmbito municipal e prioridade de atenção aos bairros onde está evidenciado o maior índice de vulnerabilidade, oportunizando o acesso e o engajamento de crianças, adolescentes e famílias em atividades esportivas, lúdicas, recreativas e culturais, como forma de prevenir situações de risco e trabalho infantil.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Secretarias de Esportes e Cultura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Secretarias de Esportes, Cultura, Saúde, Educação, Promoção Social, DERA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Inicio: Agosto/2020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Término: Agosto/2029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Recursos já alocados nas secretarias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Promover a ocupação pelas crianças, adolescentes, jovens e famílias dos espaços públicos – praças, entre outros, através da realização de mostras e produções culturais, artísticas e esportivas, produzidas pelas crianças e adolescentes nas oficinas culturais e jogos esportivos, buscando legitimar o sentimento de pertencimento e qualidade de vida e projeto de vida.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Secretarias de Cultura, Esportes e Meio Ambiente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Secretarias de Cultura, Educação, Promoção Social, Saúde, Meio Ambiente, Secretaria de Segurança Pública e Trânsito, DERA, CMDCA, Conselho Municipal de Política Cultural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>Inicio: Novembro/2021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Término: Agosto/2029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Recursos já alocados nas secretarias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Desenvolver oficinas nas centros culturais, bibliotecas e escolas municipais com abrangência aos bairros de maior vulnerabilidade, a fim de oferecer escuta e dar voz às crianças e adolescentes como meio de ressignificar as vivências para a resolução de problemas e conflitos, através de um processo reflexão / ação que leve a construção de novos projetos de vida.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 de Educação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 de Educação, Cultura, Promoção Social, DERA, CMDCA, Conselho Municipal de Política Cultural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Inicio: Fevereiro/2021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Término: Agosto/2029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OCA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FIA</w:t>
            </w:r>
          </w:p>
        </w:tc>
      </w:tr>
      <w:tr w:rsidR="00D44A3C">
        <w:tc>
          <w:tcPr>
            <w:tcW w:w="9663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Meta 2: </w:t>
            </w:r>
            <w:r>
              <w:rPr>
                <w:rFonts w:ascii="Arial" w:hAnsi="Arial" w:cs="Arial"/>
                <w:sz w:val="20"/>
                <w:szCs w:val="20"/>
              </w:rPr>
              <w:t>Reduzir 60% das Situações de Trabalho Infantil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Ação / Projeto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Responsável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Envolvidos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Prazos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Fonte de Recursos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Promover ações de prevenção e promoção de direitos e cidadania como forma de enfrentamento a situações de trabalho infantil.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 de Promoção Social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 de Saúde, Desenvolvimento Econômico, Promoção Social, Meio Ambiente, Educação, DERA, Conselho Tutelar.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Inicio: Maio/2020</w:t>
            </w:r>
          </w:p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Término: Agosto/2029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Cofinanciamento Federal AEPETI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Mapear os territórios do município com incidência do trabalho infantil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 de Promoção Social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Secretarias de Educação, Saúde, Promoção Social e DERA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Inicio: Agosto/2019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Término: Março/2020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Cofinanciamento Federal AEPETI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Elaborar e Aprovar o Protocolo Municipal de Combate a Exploração do Trabalho Infantil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CMDCA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Poder Executivo, Poder Judiciário, Ministério Público, Conselho Tutelar e Sociedade Civil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Inicio: Junho/2020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Término: Junho/2021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Cofinanciamento Federal AEPETI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Criar Comissão Intersetorial para acompanhamento das ações voltadas para Erradicação do Trabalho Infantil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CMDCA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 xml:space="preserve">Secretarias de Esportes, Educação, Cultura, Meio Ambiente, Promoção Social, Desenvolvimento Econômico, Saúde, SESETRAN, Conselho Tutelar. 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Inicio: Março/2020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Término: Junho/2020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Recursos já alocados nas secretarias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Fortalecer e Divulgar os canais de denuncia contra situações de trabalho infantil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Poder Executivo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CMDCA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Poder Executivo,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CMDCA, Conselho Tutelar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Inicio: Junho/2020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Término: Agosto/2029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Cofinanciamento Federal AEPETI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Desenvolver campanhas de sensibilização quanto aos riscos que envolvem o trabalho infantil, a fim de que não contribuam com o fomento dessa prática e o agravamento das situações.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Poder Executivo Municipal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Poder Executivo,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CMDCA, Conselho Tutelar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Inicio: Julho/2020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Término: Agosto/2029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Cofinanciamento Federal AEPETI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Identificar estatisticamente os territórios com maior incidência de Trafico de Drogas, a fim de ampliar policiamento e ações de prevenção, como estratégia de combate as piores formas de trabalho infantil, tais como recrutamento e utilização das crianças e adolescentes como soldados e exploração sexual.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 de Segurança Pública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Segurança Pública, CONSEG, Proerd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Inicio: Abril/2020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Término: Dez./2020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Recursos já alocados nas secretarias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Integrar o protocolo de atendimento à crianças e adolescentes vitimas de abuso sexual, já existente no município, ao protocolo municipal de combate a exploração do trabalho infantil que será elaborado sob responsabilidade do CMDCA.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 xml:space="preserve">Poder Executivo 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 xml:space="preserve">Poder Executivo, CMDCA, Conselho Tutelar 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Inicio: Agosto/2021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Término: Dez./2021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Recursos já alocados nas secretarias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Fortalecer, divulgar o Protocolo de Atendimento Integrado à Crianças e Adolescentes vitimas de abuso sexual no município.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Poder Executivo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 xml:space="preserve">Poder Executivo, CMDCA, Conselho Tutelar 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Inicio: Junho/2020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Término: Agosto/2021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Recursos já alocados nas secretarias</w:t>
            </w:r>
          </w:p>
        </w:tc>
      </w:tr>
      <w:tr w:rsidR="00D44A3C">
        <w:tc>
          <w:tcPr>
            <w:tcW w:w="9663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Meta 3: </w:t>
            </w:r>
            <w:r>
              <w:rPr>
                <w:rFonts w:ascii="Arial" w:hAnsi="Arial" w:cs="Arial"/>
                <w:sz w:val="20"/>
                <w:szCs w:val="20"/>
              </w:rPr>
              <w:t>Alcançar 100% do potencial de cotas da estrutura empresarial para contratação de adolescentes aprendiz no município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Ação / Projeto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Responsável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Envolvidos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Prazos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Fonte de Recursos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Estabelecer parceria com Juíza do trabalho, a fim de alcançar empresas com potencial para abertura e/ou ampliação de cotas de aprendizagem no município.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Poder Executivo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Comissão Intersetorial de acompanhamento das ações voltadas para Erradicação do Trabalho Infantil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Inicio: Agosto/2020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Término: Dez/2020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Recursos já alocados nas secretarias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Sensibilizar empresários para ampliação das vagas de aprendizagem.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 de Desenvolvimento Econômico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Poder Executivo,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Comissão Intersetorial de acompanhamento das ações voltadas para Erradicação do Trabalho Infantil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Inicio: Agosto/2020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Término: Agosto/2029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Recursos já alocados nas secretarias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Ampliar Parceria com setor privado para oferta de qualificação profissional para adolescentes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 xml:space="preserve">Poder Executivo 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Poder Executivo, Juíza do Trabalho,</w:t>
            </w:r>
          </w:p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Comissão Intersetorial de acompanhamento das ações voltadas para Erradicação do Trabalho Infantil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Inicio: Fevereiro/2021</w:t>
            </w:r>
          </w:p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Término: Junho/2021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Cofinanciamento Federal AEPETI</w:t>
            </w:r>
          </w:p>
        </w:tc>
      </w:tr>
      <w:tr w:rsidR="00D44A3C">
        <w:tc>
          <w:tcPr>
            <w:tcW w:w="9663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Meta 4: </w:t>
            </w:r>
            <w:r>
              <w:rPr>
                <w:rFonts w:ascii="Arial" w:hAnsi="Arial" w:cs="Arial"/>
                <w:sz w:val="20"/>
                <w:szCs w:val="20"/>
              </w:rPr>
              <w:t xml:space="preserve">- Acompanhar 100% das famílias em situação de descumprimento de condicionalidades do Programa Bolsa Família por situação de Evasão Escolar; e </w:t>
            </w:r>
          </w:p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</w:t>
            </w:r>
            <w:r>
              <w:rPr>
                <w:rFonts w:ascii="Arial" w:hAnsi="Arial" w:cs="Arial"/>
                <w:sz w:val="20"/>
                <w:szCs w:val="20"/>
              </w:rPr>
              <w:t>- Acompanhar 100% das famílias com indivíduos identificados em situação de Exploração do Trabalho Infantil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Ação / Projeto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Responsável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Envolvidos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Prazos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Fonte de Recursos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Realizar busca ativa das famílias em situação de descumprimento de condicionalidades, com identificação de situações de violação de direito, principalmente situações com suspeita ou identificação de trabalho infantil.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 de Promoção Social – Setor de Cadastro Único/ CRAS/ CREAS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Secretarias de Promoção Social, saúde e educação e DERA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Inicio: Março/2020</w:t>
            </w:r>
          </w:p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Término: Agosto/2029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Recursos já alocados nas secretarias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Promover o acompanhamento e encaminhamento das famílias nas situações acima destacadas, objetivando a prevenção do agravamento das situações de risco, a proteção social e a redução da pobreza em todas as suas dimensões.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 de Promoção Social – Setor de Cadastro Único/ CRAS/ CREAS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Secretarias de Saúde, Educação, Desenvolvimento Econômico, Promoção Social, Conselho Tutelar, DERA.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Inicio: Abril/2020</w:t>
            </w:r>
          </w:p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Término: Agosto/2029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Recursos já alocados nas secretarias</w:t>
            </w:r>
          </w:p>
        </w:tc>
      </w:tr>
      <w:tr w:rsidR="00D44A3C">
        <w:tc>
          <w:tcPr>
            <w:tcW w:w="30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Garantir o acesso e a inclusão prioritária dessas famílias nas políticas públicas setoriais, tais como: saúde, educação, proteção e principalmente nos Serviços vinculados à Secretaria de Desenvolvimento Econômico, a fim de promover a inclusão social, política e econômica sem qualquer distinção.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Poder Executivo</w:t>
            </w:r>
          </w:p>
        </w:tc>
        <w:tc>
          <w:tcPr>
            <w:tcW w:w="1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 xml:space="preserve">Secretarias de Saúde, Educação, Desenvolvimento Econômico, Promoção Social, Conselho Tutelar, DERA. 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r>
              <w:rPr>
                <w:rFonts w:ascii="Arial" w:hAnsi="Arial" w:cs="Arial"/>
                <w:sz w:val="20"/>
                <w:szCs w:val="20"/>
              </w:rPr>
              <w:t>Inicio: Abril/2020</w:t>
            </w:r>
          </w:p>
          <w:p w:rsidR="00D44A3C" w:rsidRDefault="00D44A3C">
            <w:pPr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Término: Agosto/2029</w:t>
            </w:r>
          </w:p>
        </w:tc>
        <w:tc>
          <w:tcPr>
            <w:tcW w:w="13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</w:pPr>
            <w:r>
              <w:rPr>
                <w:rFonts w:ascii="Arial" w:hAnsi="Arial" w:cs="Arial"/>
                <w:sz w:val="20"/>
                <w:szCs w:val="20"/>
              </w:rPr>
              <w:t>Recursos já alocados nas secretarias</w:t>
            </w:r>
          </w:p>
        </w:tc>
      </w:tr>
    </w:tbl>
    <w:p w:rsidR="00D44A3C" w:rsidRDefault="00D44A3C">
      <w:pPr>
        <w:spacing w:line="360" w:lineRule="auto"/>
        <w:jc w:val="both"/>
        <w:rPr>
          <w:b/>
          <w:bCs/>
          <w:i/>
          <w:iCs/>
          <w:u w:val="single"/>
        </w:rPr>
      </w:pPr>
    </w:p>
    <w:p w:rsidR="00D44A3C" w:rsidRDefault="00D44A3C">
      <w:pPr>
        <w:pageBreakBefore/>
        <w:spacing w:line="360" w:lineRule="auto"/>
        <w:jc w:val="both"/>
      </w:pPr>
      <w:r>
        <w:rPr>
          <w:rFonts w:ascii="Arial" w:hAnsi="Arial" w:cs="Arial"/>
          <w:b/>
          <w:bCs/>
          <w:i/>
          <w:iCs/>
        </w:rPr>
        <w:lastRenderedPageBreak/>
        <w:t>4. Matriz Lógica: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09"/>
        <w:gridCol w:w="4896"/>
        <w:gridCol w:w="3250"/>
      </w:tblGrid>
      <w:tr w:rsidR="00D44A3C">
        <w:tc>
          <w:tcPr>
            <w:tcW w:w="15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Problema Central</w:t>
            </w:r>
          </w:p>
        </w:tc>
        <w:tc>
          <w:tcPr>
            <w:tcW w:w="814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eastAsia="Arial" w:hAnsi="Arial" w:cs="Arial"/>
                <w:sz w:val="20"/>
                <w:szCs w:val="20"/>
              </w:rPr>
              <w:t>Crianças e Adolescentes em Situação de Risco em Decorrência do Trabalho Infantil.</w:t>
            </w:r>
          </w:p>
        </w:tc>
      </w:tr>
      <w:tr w:rsidR="00D44A3C">
        <w:tc>
          <w:tcPr>
            <w:tcW w:w="15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Objetivo de Impacto</w:t>
            </w:r>
          </w:p>
        </w:tc>
        <w:tc>
          <w:tcPr>
            <w:tcW w:w="814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360" w:lineRule="auto"/>
              <w:jc w:val="both"/>
            </w:pPr>
            <w:r>
              <w:rPr>
                <w:rFonts w:ascii="Arial" w:eastAsia="Arial" w:hAnsi="Arial" w:cs="Arial"/>
                <w:sz w:val="20"/>
                <w:szCs w:val="20"/>
              </w:rPr>
              <w:t>Crianças e Adolescentes Afastados do Trabalho Infantil</w:t>
            </w:r>
          </w:p>
        </w:tc>
      </w:tr>
      <w:tr w:rsidR="00D44A3C">
        <w:tc>
          <w:tcPr>
            <w:tcW w:w="15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ODS Associado</w:t>
            </w:r>
          </w:p>
        </w:tc>
        <w:tc>
          <w:tcPr>
            <w:tcW w:w="814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snapToGri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pict>
                <v:shape id="_x0000_s1032" type="#_x0000_t75" style="position:absolute;left:0;text-align:left;margin-left:103.95pt;margin-top:3.5pt;width:41.7pt;height:39.85pt;z-index:7;mso-wrap-distance-left:0;mso-wrap-distance-right:0;mso-position-horizontal-relative:text;mso-position-vertical-relative:text" filled="t">
                  <v:fill color2="black"/>
                  <v:imagedata r:id="rId21" o:title="" croptop="22345f" cropbottom="33365f" cropleft="50013f" cropright="9742f"/>
                  <w10:wrap type="square" side="largest"/>
                </v:shape>
              </w:pict>
            </w:r>
            <w:r>
              <w:pict>
                <v:shape id="_x0000_s1034" type="#_x0000_t75" style="position:absolute;left:0;text-align:left;margin-left:6.3pt;margin-top:4.7pt;width:42pt;height:37.4pt;z-index:9;mso-wrap-distance-left:0;mso-wrap-distance-right:0;mso-position-horizontal-relative:text;mso-position-vertical-relative:text" filled="t">
                  <v:fill color2="black"/>
                  <v:imagedata r:id="rId22" o:title="" croptop="22658f" cropbottom="33638f" cropleft="49815f" cropright="9902f"/>
                  <w10:wrap type="square" side="largest"/>
                </v:shape>
              </w:pict>
            </w:r>
            <w:r>
              <w:pict>
                <v:shape id="_x0000_s1035" type="#_x0000_t75" style="position:absolute;left:0;text-align:left;margin-left:55.4pt;margin-top:2.1pt;width:42pt;height:41pt;z-index:10;mso-wrap-distance-left:0;mso-wrap-distance-right:0;mso-position-horizontal-relative:text;mso-position-vertical-relative:text" filled="t">
                  <v:fill color2="black"/>
                  <v:imagedata r:id="rId23" o:title="" croptop="22670f" cropbottom="32762f" cropleft="49815f" cropright="9902f"/>
                  <w10:wrap type="square" side="largest"/>
                </v:shape>
              </w:pict>
            </w:r>
            <w:r>
              <w:pict>
                <v:shape id="_x0000_s1036" type="#_x0000_t75" style="position:absolute;left:0;text-align:left;margin-left:152.6pt;margin-top:3.2pt;width:41.65pt;height:41pt;z-index:11;mso-wrap-distance-left:0;mso-wrap-distance-right:0;mso-position-horizontal-relative:text;mso-position-vertical-relative:text" filled="t">
                  <v:fill color2="black"/>
                  <v:imagedata r:id="rId24" o:title="" croptop="22488f" cropbottom="32938f" cropleft="49918f" cropright="9847f"/>
                  <w10:wrap type="square" side="largest"/>
                </v:shape>
              </w:pict>
            </w:r>
            <w:r>
              <w:pict>
                <v:shape id="_x0000_s1038" type="#_x0000_t75" style="position:absolute;left:0;text-align:left;margin-left:199.2pt;margin-top:4.35pt;width:42.6pt;height:42.05pt;z-index:13;mso-wrap-distance-left:0;mso-wrap-distance-right:0;mso-position-horizontal-relative:text;mso-position-vertical-relative:text" filled="t">
                  <v:fill color2="black"/>
                  <v:imagedata r:id="rId25" o:title="" croptop="25378f" cropbottom="14995f" cropleft="26994f" cropright="24205f"/>
                  <w10:wrap type="square" side="largest"/>
                </v:shape>
              </w:pict>
            </w:r>
          </w:p>
          <w:p w:rsidR="00D44A3C" w:rsidRDefault="00D44A3C">
            <w:pPr>
              <w:spacing w:line="360" w:lineRule="auto"/>
              <w:jc w:val="both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D44A3C" w:rsidRDefault="00D44A3C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44A3C">
        <w:tc>
          <w:tcPr>
            <w:tcW w:w="640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Resultado Esperado/Meta</w:t>
            </w:r>
          </w:p>
        </w:tc>
        <w:tc>
          <w:tcPr>
            <w:tcW w:w="32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360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Metas ODS associadas</w:t>
            </w:r>
          </w:p>
        </w:tc>
      </w:tr>
      <w:tr w:rsidR="00D44A3C">
        <w:tc>
          <w:tcPr>
            <w:tcW w:w="640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Reduzir 50% a Evasão Escolar como forma de prevenção a situação de risco ocasionada, entre outros pelo Trabalho Infantil.</w:t>
            </w:r>
          </w:p>
        </w:tc>
        <w:tc>
          <w:tcPr>
            <w:tcW w:w="32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36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Metas: 4.1, 4.4 e 4.7</w:t>
            </w:r>
          </w:p>
        </w:tc>
      </w:tr>
      <w:tr w:rsidR="00D44A3C">
        <w:tc>
          <w:tcPr>
            <w:tcW w:w="640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Reduzir 60% das Situações de Trabalho Infantil</w:t>
            </w:r>
          </w:p>
        </w:tc>
        <w:tc>
          <w:tcPr>
            <w:tcW w:w="32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36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Metas: 8.6, 8.7 e 16.2</w:t>
            </w:r>
          </w:p>
        </w:tc>
      </w:tr>
      <w:tr w:rsidR="00D44A3C">
        <w:tc>
          <w:tcPr>
            <w:tcW w:w="640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Alcançar 100% do potencial de cotas da estrutura empresarial para contratação de adolescentes aprendiz no município</w:t>
            </w:r>
          </w:p>
        </w:tc>
        <w:tc>
          <w:tcPr>
            <w:tcW w:w="32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36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Metas: 8.3</w:t>
            </w:r>
          </w:p>
        </w:tc>
      </w:tr>
      <w:tr w:rsidR="00D44A3C">
        <w:tc>
          <w:tcPr>
            <w:tcW w:w="640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- Acompanhar 100% das famílias em situação de descumprimento de condicionalidades do Programa Bolsa Família por situação de Evasão Escolar; </w:t>
            </w:r>
          </w:p>
        </w:tc>
        <w:tc>
          <w:tcPr>
            <w:tcW w:w="3250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spacing w:line="360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Metas: 1.2 e 10.2</w:t>
            </w:r>
          </w:p>
        </w:tc>
      </w:tr>
      <w:tr w:rsidR="00D44A3C">
        <w:tc>
          <w:tcPr>
            <w:tcW w:w="640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- Acompanhar 100% das famílias com indivíduos identificados em situação de Exploração do Trabalho Infantil</w:t>
            </w:r>
          </w:p>
        </w:tc>
        <w:tc>
          <w:tcPr>
            <w:tcW w:w="325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snapToGri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44A3C" w:rsidRDefault="00D44A3C">
      <w:pPr>
        <w:spacing w:line="276" w:lineRule="auto"/>
        <w:jc w:val="both"/>
        <w:rPr>
          <w:rFonts w:ascii="Arial" w:hAnsi="Arial" w:cs="Arial"/>
          <w:b/>
          <w:bCs/>
          <w:i/>
          <w:i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50"/>
        <w:gridCol w:w="7105"/>
      </w:tblGrid>
      <w:tr w:rsidR="00D44A3C">
        <w:tc>
          <w:tcPr>
            <w:tcW w:w="25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Resultado Esperado/Meta</w:t>
            </w:r>
          </w:p>
        </w:tc>
        <w:tc>
          <w:tcPr>
            <w:tcW w:w="71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Reduzir 50% a Evasão Escolar como forma de prevenção a situação de risco ocasionada, entre outros pelo Trabalho Infantil.</w:t>
            </w:r>
          </w:p>
        </w:tc>
      </w:tr>
      <w:tr w:rsidR="00D44A3C">
        <w:tc>
          <w:tcPr>
            <w:tcW w:w="25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ODS Associado</w:t>
            </w:r>
          </w:p>
        </w:tc>
        <w:tc>
          <w:tcPr>
            <w:tcW w:w="71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pict>
                <v:shape id="_x0000_s1028" type="#_x0000_t75" style="position:absolute;margin-left:4.05pt;margin-top:3.3pt;width:42pt;height:41pt;z-index:3;mso-wrap-distance-left:0;mso-wrap-distance-right:0;mso-position-horizontal-relative:text;mso-position-vertical-relative:text" filled="t">
                  <v:fill color2="black"/>
                  <v:imagedata r:id="rId23" o:title="" croptop="22670f" cropbottom="32762f" cropleft="49815f" cropright="9902f"/>
                  <w10:wrap type="square" side="largest"/>
                </v:shape>
              </w:pict>
            </w:r>
          </w:p>
          <w:p w:rsidR="00D44A3C" w:rsidRDefault="00D44A3C">
            <w:pPr>
              <w:pStyle w:val="Contedodatabela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Garantir educação inclusiva e equitativa de qualidade, e promover oportunidades de aprendizado ao longo da vida para todos.</w:t>
            </w:r>
          </w:p>
          <w:p w:rsidR="00D44A3C" w:rsidRDefault="00D44A3C">
            <w:pPr>
              <w:pStyle w:val="Contedodatabela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4A3C">
        <w:tc>
          <w:tcPr>
            <w:tcW w:w="2550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Meta ODS associada</w:t>
            </w:r>
          </w:p>
        </w:tc>
        <w:tc>
          <w:tcPr>
            <w:tcW w:w="71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4.1 – Até 2030, garantir que todas as meninas e meninos completem o ensino primário e secundário livre, equitativo e de qualidade e que conduza a resultados de aprendizagem relevantes e eficazes.</w:t>
            </w:r>
          </w:p>
        </w:tc>
      </w:tr>
      <w:tr w:rsidR="00D44A3C">
        <w:tc>
          <w:tcPr>
            <w:tcW w:w="25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4.4 – Até 2030, aumentar substancialmente o número de jovens e adultos que tenham habilidades relevantes, inclusive competências técnicas e profissionais, para emprego, trabalho decente e empreendedorismo. </w:t>
            </w:r>
          </w:p>
        </w:tc>
      </w:tr>
      <w:tr w:rsidR="00D44A3C">
        <w:tc>
          <w:tcPr>
            <w:tcW w:w="25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4.7 – Até 2030, garantir que todos os alunos adquiram conhecimentos e habilidades necessárias para promover o desenvolvimento sustentável, inclusive, entre outros, por meio da educação para o desenvolvimento sustentável e estilos de vida sustentáveis, direitos humanos, igualdade de gênero, promoção de uma cultura de paz e não violência, cidadania global e valorização da diversidade cultural e da contribuição da cultura para o desenvolvimento sustentável. </w:t>
            </w:r>
          </w:p>
        </w:tc>
      </w:tr>
    </w:tbl>
    <w:p w:rsidR="00D44A3C" w:rsidRDefault="00D44A3C">
      <w:pPr>
        <w:spacing w:line="360" w:lineRule="auto"/>
        <w:jc w:val="both"/>
        <w:rPr>
          <w:rFonts w:ascii="Arial" w:hAnsi="Arial" w:cs="Arial"/>
          <w:b/>
          <w:bCs/>
          <w:i/>
          <w:i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50"/>
        <w:gridCol w:w="7105"/>
      </w:tblGrid>
      <w:tr w:rsidR="00D44A3C">
        <w:tc>
          <w:tcPr>
            <w:tcW w:w="25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Resultado Esperado/Meta</w:t>
            </w:r>
          </w:p>
        </w:tc>
        <w:tc>
          <w:tcPr>
            <w:tcW w:w="71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Reduzir 60% das Situações de Trabalho Infantil</w:t>
            </w:r>
          </w:p>
        </w:tc>
      </w:tr>
      <w:tr w:rsidR="00D44A3C">
        <w:tc>
          <w:tcPr>
            <w:tcW w:w="25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ODS Associado</w:t>
            </w:r>
          </w:p>
        </w:tc>
        <w:tc>
          <w:tcPr>
            <w:tcW w:w="71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pict>
                <v:shape id="_x0000_s1029" type="#_x0000_t75" style="position:absolute;margin-left:7.05pt;margin-top:4.75pt;width:41.7pt;height:39.85pt;z-index:4;mso-wrap-distance-left:0;mso-wrap-distance-right:0;mso-position-horizontal-relative:text;mso-position-vertical-relative:text" filled="t">
                  <v:fill color2="black"/>
                  <v:imagedata r:id="rId21" o:title="" croptop="22345f" cropbottom="33365f" cropleft="50013f" cropright="9742f"/>
                  <w10:wrap type="square" side="largest"/>
                </v:shape>
              </w:pict>
            </w:r>
            <w:r>
              <w:pict>
                <v:shape id="_x0000_s1037" type="#_x0000_t75" style="position:absolute;margin-left:58.55pt;margin-top:6.45pt;width:37.45pt;height:36.95pt;z-index:12;mso-wrap-distance-left:0;mso-wrap-distance-right:0;mso-position-horizontal-relative:text;mso-position-vertical-relative:text" filled="t">
                  <v:fill color2="black"/>
                  <v:imagedata r:id="rId25" o:title="" croptop="25378f" cropbottom="14995f" cropleft="26994f" cropright="24205f"/>
                  <w10:wrap type="square" side="largest"/>
                </v:shape>
              </w:pict>
            </w:r>
          </w:p>
          <w:p w:rsidR="00D44A3C" w:rsidRDefault="00D44A3C">
            <w:pPr>
              <w:pStyle w:val="Contedodatabela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D44A3C" w:rsidRDefault="00D44A3C">
            <w:pPr>
              <w:pStyle w:val="Contedodatabela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4A3C">
        <w:tc>
          <w:tcPr>
            <w:tcW w:w="2550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Meta ODS associada</w:t>
            </w:r>
          </w:p>
        </w:tc>
        <w:tc>
          <w:tcPr>
            <w:tcW w:w="71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8.6 – Até 2020, reduzir substancialmente a proporção de jovens sem emprego, educação ou formação. </w:t>
            </w:r>
          </w:p>
        </w:tc>
      </w:tr>
      <w:tr w:rsidR="00D44A3C">
        <w:tc>
          <w:tcPr>
            <w:tcW w:w="25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8.7 – Tomar medidas imediatas e eficazes para erradicar o trabalho forçado, acabar com a escravidão moderna e o tráfico de pessoas e assegurar a proibição e eliminação das piores formas de trabalho infantil, incluindo recrutamento e utilização de crianças-soldado, e até 2025 acabar com o trabalho infantil em todas as suas formas. </w:t>
            </w:r>
          </w:p>
        </w:tc>
      </w:tr>
      <w:tr w:rsidR="00D44A3C">
        <w:tc>
          <w:tcPr>
            <w:tcW w:w="25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16.2 – Acabar com abuso, exploração, tráfico e todas as formas de violência e tortura. </w:t>
            </w:r>
          </w:p>
        </w:tc>
      </w:tr>
    </w:tbl>
    <w:p w:rsidR="00D44A3C" w:rsidRDefault="00D44A3C">
      <w:pPr>
        <w:spacing w:line="276" w:lineRule="auto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50"/>
        <w:gridCol w:w="7105"/>
      </w:tblGrid>
      <w:tr w:rsidR="00D44A3C">
        <w:tc>
          <w:tcPr>
            <w:tcW w:w="25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Resultado Esperado/Meta</w:t>
            </w:r>
          </w:p>
        </w:tc>
        <w:tc>
          <w:tcPr>
            <w:tcW w:w="71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Alcançar 100% do potencial de cotas da estrutura empresarial para contratação de adolescentes aprendiz no município</w:t>
            </w:r>
          </w:p>
        </w:tc>
      </w:tr>
      <w:tr w:rsidR="00D44A3C">
        <w:tc>
          <w:tcPr>
            <w:tcW w:w="25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ODS Associado</w:t>
            </w:r>
          </w:p>
        </w:tc>
        <w:tc>
          <w:tcPr>
            <w:tcW w:w="71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pict>
                <v:shape id="_x0000_s1030" type="#_x0000_t75" style="position:absolute;margin-left:5.55pt;margin-top:3.25pt;width:41.7pt;height:39.85pt;z-index:5;mso-wrap-distance-left:0;mso-wrap-distance-right:0;mso-position-horizontal-relative:text;mso-position-vertical-relative:text" filled="t">
                  <v:fill color2="black"/>
                  <v:imagedata r:id="rId21" o:title="" croptop="22345f" cropbottom="33365f" cropleft="50013f" cropright="9742f"/>
                  <w10:wrap type="square" side="largest"/>
                </v:shape>
              </w:pict>
            </w:r>
          </w:p>
          <w:p w:rsidR="00D44A3C" w:rsidRDefault="00D44A3C">
            <w:pPr>
              <w:pStyle w:val="Contedodatabela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Emprego Digno e Crescimento Econômico</w:t>
            </w:r>
          </w:p>
          <w:p w:rsidR="00D44A3C" w:rsidRDefault="00D44A3C">
            <w:pPr>
              <w:pStyle w:val="Contedodatabela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4A3C">
        <w:tc>
          <w:tcPr>
            <w:tcW w:w="25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Meta ODS associada</w:t>
            </w:r>
          </w:p>
        </w:tc>
        <w:tc>
          <w:tcPr>
            <w:tcW w:w="71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</w:pPr>
            <w:r>
              <w:rPr>
                <w:rFonts w:ascii="Arial" w:hAnsi="Arial" w:cs="Arial"/>
                <w:sz w:val="20"/>
                <w:szCs w:val="20"/>
              </w:rPr>
              <w:t xml:space="preserve">8.3 – Promover políticas orientadas para o desenvolvimento, que apoiem as atividades produtivas, geração de emprego decente, empreendedorismo, criatividade e inovação, e incentivar a formalização e o crescimento das micro, pequenas e médias empresas, inclusive por meio do acesso a serviços financeiros </w:t>
            </w:r>
          </w:p>
        </w:tc>
      </w:tr>
    </w:tbl>
    <w:p w:rsidR="00D44A3C" w:rsidRDefault="00D44A3C">
      <w:pPr>
        <w:spacing w:line="276" w:lineRule="auto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50"/>
        <w:gridCol w:w="7105"/>
      </w:tblGrid>
      <w:tr w:rsidR="00D44A3C">
        <w:tc>
          <w:tcPr>
            <w:tcW w:w="255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Resultado Esperado/Meta</w:t>
            </w:r>
          </w:p>
        </w:tc>
        <w:tc>
          <w:tcPr>
            <w:tcW w:w="71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- Acompanhar 100% das famílias em situação de descumprimento de condicionalidades do Programa Bolsa Família por situação de Evasão Escolar; </w:t>
            </w:r>
          </w:p>
        </w:tc>
      </w:tr>
      <w:tr w:rsidR="00D44A3C">
        <w:tc>
          <w:tcPr>
            <w:tcW w:w="255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- Acompanhar 100% das famílias com indivíduos identificados em situação de Exploração do Trabalho Infantil</w:t>
            </w:r>
          </w:p>
        </w:tc>
      </w:tr>
      <w:tr w:rsidR="00D44A3C">
        <w:tc>
          <w:tcPr>
            <w:tcW w:w="25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ODS Associado</w:t>
            </w:r>
          </w:p>
        </w:tc>
        <w:tc>
          <w:tcPr>
            <w:tcW w:w="71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pict>
                <v:shape id="_x0000_s1031" type="#_x0000_t75" style="position:absolute;margin-left:56.75pt;margin-top:.4pt;width:41.65pt;height:41pt;z-index:6;mso-wrap-distance-left:0;mso-wrap-distance-right:0;mso-position-horizontal-relative:text;mso-position-vertical-relative:text" filled="t">
                  <v:fill color2="black"/>
                  <v:imagedata r:id="rId24" o:title="" croptop="22488f" cropbottom="32938f" cropleft="49918f" cropright="9847f"/>
                  <w10:wrap type="square" side="largest"/>
                </v:shape>
              </w:pict>
            </w:r>
            <w:r>
              <w:pict>
                <v:shape id="_x0000_s1033" type="#_x0000_t75" style="position:absolute;margin-left:2.55pt;margin-top:3.45pt;width:42pt;height:37.4pt;z-index:8;mso-wrap-distance-left:0;mso-wrap-distance-right:0;mso-position-horizontal-relative:text;mso-position-vertical-relative:text" filled="t">
                  <v:fill color2="black"/>
                  <v:imagedata r:id="rId22" o:title="" croptop="22658f" cropbottom="33638f" cropleft="49815f" cropright="9902f"/>
                  <w10:wrap type="square" side="largest"/>
                </v:shape>
              </w:pict>
            </w:r>
          </w:p>
          <w:p w:rsidR="00D44A3C" w:rsidRDefault="00D44A3C">
            <w:pPr>
              <w:pStyle w:val="Contedodatabela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D44A3C" w:rsidRDefault="00D44A3C">
            <w:pPr>
              <w:pStyle w:val="Contedodatabela"/>
              <w:rPr>
                <w:rFonts w:ascii="Arial" w:hAnsi="Arial" w:cs="Arial"/>
                <w:sz w:val="20"/>
                <w:szCs w:val="20"/>
              </w:rPr>
            </w:pPr>
          </w:p>
          <w:p w:rsidR="00D44A3C" w:rsidRDefault="00D44A3C">
            <w:pPr>
              <w:pStyle w:val="Contedodatabela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4A3C">
        <w:tc>
          <w:tcPr>
            <w:tcW w:w="2550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Meta ODS associada</w:t>
            </w:r>
          </w:p>
        </w:tc>
        <w:tc>
          <w:tcPr>
            <w:tcW w:w="71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1.2 – 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>Até 2030, reduzir pelo menos à metade a proporção de homens, mulheres e crianças, de todas as idades, que vivem na pobreza, em todas as suas dimensões, de acordo com as definições nacionais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44A3C">
        <w:tc>
          <w:tcPr>
            <w:tcW w:w="25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A3C" w:rsidRDefault="00D44A3C">
            <w:pPr>
              <w:pStyle w:val="Contedodatabela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10.2 – Até 2030, empoderar e promover a inclusão social, econômica e política de todos, independentemente da idade, sexo, deficiência, raça, etnia, origem, religião, condição econômica ou outra.</w:t>
            </w:r>
          </w:p>
        </w:tc>
      </w:tr>
    </w:tbl>
    <w:p w:rsidR="00D44A3C" w:rsidRDefault="00D44A3C"/>
    <w:sectPr w:rsidR="00D44A3C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2379" w:right="1134" w:bottom="2678" w:left="1134" w:header="45" w:footer="1886" w:gutter="0"/>
      <w:cols w:space="720"/>
      <w:docGrid w:linePitch="240" w:charSpace="-65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5D97" w:rsidRDefault="003C5D97">
      <w:r>
        <w:separator/>
      </w:r>
    </w:p>
  </w:endnote>
  <w:endnote w:type="continuationSeparator" w:id="0">
    <w:p w:rsidR="003C5D97" w:rsidRDefault="003C5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A3C" w:rsidRDefault="00D44A3C">
    <w:pPr>
      <w:pStyle w:val="Rodap"/>
      <w:jc w:val="center"/>
      <w:rPr>
        <w:rFonts w:ascii="Arial" w:hAnsi="Arial" w:cs="Arial"/>
        <w:b/>
        <w:sz w:val="16"/>
        <w:szCs w:val="16"/>
      </w:rPr>
    </w:pPr>
  </w:p>
  <w:p w:rsidR="00D44A3C" w:rsidRDefault="00D44A3C">
    <w:pPr>
      <w:pStyle w:val="Rodap"/>
      <w:jc w:val="center"/>
    </w:pPr>
    <w:r>
      <w:rPr>
        <w:rFonts w:ascii="Arial" w:hAnsi="Arial" w:cs="Arial"/>
        <w:b/>
        <w:sz w:val="18"/>
        <w:szCs w:val="18"/>
      </w:rPr>
      <w:t>SECRETARIA DE PROMOÇÃO SOCIAL</w:t>
    </w:r>
  </w:p>
  <w:p w:rsidR="00D44A3C" w:rsidRDefault="00D44A3C">
    <w:pPr>
      <w:pStyle w:val="Rodap"/>
      <w:jc w:val="center"/>
    </w:pPr>
    <w:r>
      <w:rPr>
        <w:rFonts w:ascii="Arial" w:hAnsi="Arial" w:cs="Arial"/>
        <w:sz w:val="16"/>
        <w:szCs w:val="16"/>
      </w:rPr>
      <w:t>Av. de Cillo, 650 – Jd. Belo Horizonte – Santa Bárbara d’Oeste/SP – CEP 13450-041</w:t>
    </w:r>
  </w:p>
  <w:p w:rsidR="00D44A3C" w:rsidRDefault="00D44A3C">
    <w:pPr>
      <w:pStyle w:val="Rodap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56.7pt;margin-top:33.5pt;width:593.85pt;height:95.5pt;z-index:-1;mso-wrap-distance-left:0;mso-wrap-distance-right:0" filled="t">
          <v:fill color2="black"/>
          <v:imagedata r:id="rId1" o:title="" croptop="-912f" cropbottom="-912f" cropleft="-148f" cropright="-148f"/>
          <w10:wrap type="square" side="largest"/>
        </v:shape>
      </w:pict>
    </w:r>
  </w:p>
  <w:p w:rsidR="00D44A3C" w:rsidRDefault="00D44A3C">
    <w:pPr>
      <w:pStyle w:val="Rodap"/>
      <w:jc w:val="cen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A3C" w:rsidRDefault="00D44A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5D97" w:rsidRDefault="003C5D97">
      <w:r>
        <w:separator/>
      </w:r>
    </w:p>
  </w:footnote>
  <w:footnote w:type="continuationSeparator" w:id="0">
    <w:p w:rsidR="003C5D97" w:rsidRDefault="003C5D97">
      <w:r>
        <w:continuationSeparator/>
      </w:r>
    </w:p>
  </w:footnote>
  <w:footnote w:id="1">
    <w:p w:rsidR="00D44A3C" w:rsidRDefault="00D44A3C">
      <w:pPr>
        <w:pStyle w:val="Textodenotaderodap"/>
      </w:pPr>
      <w:r>
        <w:rPr>
          <w:rStyle w:val="Caracteresdenotaderodap"/>
          <w:rFonts w:ascii="Arial" w:hAnsi="Arial"/>
        </w:rPr>
        <w:footnoteRef/>
      </w:r>
      <w:r>
        <w:rPr>
          <w:sz w:val="18"/>
          <w:szCs w:val="18"/>
        </w:rPr>
        <w:tab/>
        <w:t>Relatório sobre Bolsa Família e Cadastro Único – Secretaria de Avaliação e Gestão da Informação / Ministério da Cidadania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A3C" w:rsidRDefault="00D44A3C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6.7pt;margin-top:-132.1pt;width:593.7pt;height:107.65pt;z-index:-2;mso-wrap-distance-left:0;mso-wrap-distance-right:0" filled="t">
          <v:fill opacity="0" color2="black"/>
          <v:imagedata r:id="rId1" o:title="" croptop="-900f" cropbottom="-900f" cropleft="-165f" cropright="-165f"/>
          <w10:wrap type="square" side="larges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A3C" w:rsidRDefault="00D44A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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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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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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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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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77E"/>
    <w:rsid w:val="003C5D97"/>
    <w:rsid w:val="00AD777E"/>
    <w:rsid w:val="00B03B2A"/>
    <w:rsid w:val="00D4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5:chartTrackingRefBased/>
  <w15:docId w15:val="{1EB9908E-B1D6-44A3-AA2B-1FE37898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right"/>
      <w:outlineLvl w:val="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efaultParagraphFont">
    <w:name w:val="Default Paragraph Font"/>
  </w:style>
  <w:style w:type="character" w:styleId="Hyperlink">
    <w:name w:val="Hyperlink"/>
    <w:rPr>
      <w:color w:val="000080"/>
      <w:u w:val="single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Caracteresdenotaderodap">
    <w:name w:val="Caracteres de nota de rodapé"/>
  </w:style>
  <w:style w:type="character" w:styleId="Refdenotaderodap">
    <w:name w:val="footnote reference"/>
    <w:rPr>
      <w:vertAlign w:val="superscript"/>
    </w:rPr>
  </w:style>
  <w:style w:type="character" w:customStyle="1" w:styleId="Caracteresdenotadefim">
    <w:name w:val="Caracteres de nota de fim"/>
    <w:rPr>
      <w:vertAlign w:val="superscript"/>
    </w:rPr>
  </w:style>
  <w:style w:type="character" w:customStyle="1" w:styleId="WW-Caracteresdenotadefim">
    <w:name w:val="WW-Caracteres de nota de fim"/>
  </w:style>
  <w:style w:type="character" w:styleId="Refdenotadefim">
    <w:name w:val="endnote reference"/>
    <w:rPr>
      <w:vertAlign w:val="superscript"/>
    </w:rPr>
  </w:style>
  <w:style w:type="character" w:customStyle="1" w:styleId="WW8Num8z0">
    <w:name w:val="WW8Num8z0"/>
    <w:rPr>
      <w:rFonts w:ascii="Wingdings" w:hAnsi="Wingdings" w:cs="Wingdings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caption">
    <w:name w:val="caption"/>
    <w:basedOn w:val="Normal"/>
    <w:pPr>
      <w:suppressLineNumbers/>
      <w:spacing w:before="120" w:after="120"/>
    </w:pPr>
    <w:rPr>
      <w:i/>
      <w:iCs/>
    </w:rPr>
  </w:style>
  <w:style w:type="paragraph" w:styleId="Rodap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Corpodetexto31">
    <w:name w:val="Corpo de texto 31"/>
    <w:basedOn w:val="Normal"/>
    <w:pPr>
      <w:jc w:val="both"/>
    </w:pPr>
    <w:rPr>
      <w:b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Textodenotaderodap">
    <w:name w:val="footnote text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4669</Words>
  <Characters>25216</Characters>
  <Application>Microsoft Office Word</Application>
  <DocSecurity>0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Gislaine Parra (Marketing)</dc:creator>
  <cp:keywords/>
  <cp:lastModifiedBy>Larissa Cervi</cp:lastModifiedBy>
  <cp:revision>2</cp:revision>
  <cp:lastPrinted>2020-09-15T15:15:00Z</cp:lastPrinted>
  <dcterms:created xsi:type="dcterms:W3CDTF">2020-09-15T15:18:00Z</dcterms:created>
  <dcterms:modified xsi:type="dcterms:W3CDTF">2020-09-15T15:18:00Z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